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754355735"/>
        <w:docPartObj>
          <w:docPartGallery w:val="Table of Contents"/>
          <w:docPartUnique/>
        </w:docPartObj>
      </w:sdtPr>
      <w:sdtEndPr>
        <w:rPr>
          <w:rFonts w:ascii="Arial" w:eastAsiaTheme="minorEastAsia" w:hAnsi="Arial" w:cs="Arial"/>
          <w:sz w:val="24"/>
          <w:szCs w:val="24"/>
          <w:lang w:eastAsia="ja-JP"/>
        </w:rPr>
      </w:sdtEndPr>
      <w:sdtContent>
        <w:p w:rsidR="002C2386" w:rsidRDefault="002C2386" w:rsidP="002C2386">
          <w:pPr>
            <w:pStyle w:val="TtulodeTDC"/>
            <w:jc w:val="center"/>
            <w:rPr>
              <w:rFonts w:ascii="Arial" w:hAnsi="Arial" w:cs="Arial"/>
              <w:sz w:val="36"/>
              <w:szCs w:val="36"/>
              <w:lang w:val="es-ES"/>
            </w:rPr>
          </w:pPr>
          <w:r w:rsidRPr="002C2386">
            <w:rPr>
              <w:rFonts w:ascii="Arial" w:hAnsi="Arial" w:cs="Arial"/>
              <w:sz w:val="36"/>
              <w:szCs w:val="36"/>
              <w:lang w:val="es-ES"/>
            </w:rPr>
            <w:t>CONTENIDO</w:t>
          </w:r>
        </w:p>
        <w:p w:rsidR="002C2386" w:rsidRPr="002C2386" w:rsidRDefault="002C2386" w:rsidP="002C2386">
          <w:pPr>
            <w:jc w:val="both"/>
            <w:rPr>
              <w:rFonts w:ascii="Arial" w:hAnsi="Arial" w:cs="Arial"/>
              <w:color w:val="auto"/>
              <w:szCs w:val="24"/>
              <w:lang w:eastAsia="es-MX"/>
            </w:rPr>
          </w:pPr>
        </w:p>
        <w:p w:rsidR="00E6091E" w:rsidRPr="00E6091E" w:rsidRDefault="002C2386" w:rsidP="00E6091E">
          <w:pPr>
            <w:pStyle w:val="TDC1"/>
            <w:tabs>
              <w:tab w:val="left" w:pos="440"/>
              <w:tab w:val="right" w:leader="dot" w:pos="8830"/>
            </w:tabs>
            <w:jc w:val="both"/>
            <w:rPr>
              <w:rFonts w:ascii="Arial" w:hAnsi="Arial" w:cs="Arial"/>
              <w:noProof/>
              <w:color w:val="auto"/>
              <w:szCs w:val="24"/>
              <w:lang w:val="es-MX" w:eastAsia="es-MX"/>
            </w:rPr>
          </w:pPr>
          <w:r w:rsidRPr="00E6091E">
            <w:rPr>
              <w:rFonts w:ascii="Arial" w:hAnsi="Arial" w:cs="Arial"/>
              <w:color w:val="B35E06" w:themeColor="accent1" w:themeShade="BF"/>
              <w:szCs w:val="24"/>
            </w:rPr>
            <w:fldChar w:fldCharType="begin"/>
          </w:r>
          <w:r w:rsidRPr="00E6091E">
            <w:rPr>
              <w:rFonts w:ascii="Arial" w:hAnsi="Arial" w:cs="Arial"/>
              <w:color w:val="B35E06" w:themeColor="accent1" w:themeShade="BF"/>
              <w:szCs w:val="24"/>
            </w:rPr>
            <w:instrText xml:space="preserve"> TOC \o "1-3" \h \z \u </w:instrText>
          </w:r>
          <w:r w:rsidRPr="00E6091E">
            <w:rPr>
              <w:rFonts w:ascii="Arial" w:hAnsi="Arial" w:cs="Arial"/>
              <w:color w:val="B35E06" w:themeColor="accent1" w:themeShade="BF"/>
              <w:szCs w:val="24"/>
            </w:rPr>
            <w:fldChar w:fldCharType="separate"/>
          </w:r>
          <w:hyperlink w:anchor="_Toc29986106" w:history="1">
            <w:r w:rsidR="00E6091E" w:rsidRPr="00E6091E">
              <w:rPr>
                <w:rStyle w:val="Hipervnculo"/>
                <w:rFonts w:ascii="Arial" w:hAnsi="Arial" w:cs="Arial"/>
                <w:noProof/>
                <w:color w:val="auto"/>
                <w:szCs w:val="24"/>
              </w:rPr>
              <w:t>1.</w:t>
            </w:r>
            <w:r w:rsidR="00E6091E" w:rsidRPr="00E6091E">
              <w:rPr>
                <w:rFonts w:ascii="Arial" w:hAnsi="Arial" w:cs="Arial"/>
                <w:noProof/>
                <w:color w:val="auto"/>
                <w:szCs w:val="24"/>
                <w:lang w:val="es-MX" w:eastAsia="es-MX"/>
              </w:rPr>
              <w:tab/>
            </w:r>
            <w:r w:rsidR="00E6091E" w:rsidRPr="00E6091E">
              <w:rPr>
                <w:rStyle w:val="Hipervnculo"/>
                <w:rFonts w:ascii="Arial" w:hAnsi="Arial" w:cs="Arial"/>
                <w:noProof/>
                <w:color w:val="auto"/>
                <w:szCs w:val="24"/>
              </w:rPr>
              <w:t>TESIS AISLADAS EN MATERIA LABORAL</w:t>
            </w:r>
            <w:r w:rsidR="00E6091E" w:rsidRPr="00E6091E">
              <w:rPr>
                <w:rFonts w:ascii="Arial" w:hAnsi="Arial" w:cs="Arial"/>
                <w:noProof/>
                <w:webHidden/>
                <w:color w:val="auto"/>
                <w:szCs w:val="24"/>
              </w:rPr>
              <w:tab/>
            </w:r>
            <w:r w:rsidR="00E6091E" w:rsidRPr="00E6091E">
              <w:rPr>
                <w:rFonts w:ascii="Arial" w:hAnsi="Arial" w:cs="Arial"/>
                <w:noProof/>
                <w:webHidden/>
                <w:color w:val="auto"/>
                <w:szCs w:val="24"/>
              </w:rPr>
              <w:fldChar w:fldCharType="begin"/>
            </w:r>
            <w:r w:rsidR="00E6091E" w:rsidRPr="00E6091E">
              <w:rPr>
                <w:rFonts w:ascii="Arial" w:hAnsi="Arial" w:cs="Arial"/>
                <w:noProof/>
                <w:webHidden/>
                <w:color w:val="auto"/>
                <w:szCs w:val="24"/>
              </w:rPr>
              <w:instrText xml:space="preserve"> PAGEREF _Toc29986106 \h </w:instrText>
            </w:r>
            <w:r w:rsidR="00E6091E" w:rsidRPr="00E6091E">
              <w:rPr>
                <w:rFonts w:ascii="Arial" w:hAnsi="Arial" w:cs="Arial"/>
                <w:noProof/>
                <w:webHidden/>
                <w:color w:val="auto"/>
                <w:szCs w:val="24"/>
              </w:rPr>
            </w:r>
            <w:r w:rsidR="00E6091E" w:rsidRPr="00E6091E">
              <w:rPr>
                <w:rFonts w:ascii="Arial" w:hAnsi="Arial" w:cs="Arial"/>
                <w:noProof/>
                <w:webHidden/>
                <w:color w:val="auto"/>
                <w:szCs w:val="24"/>
              </w:rPr>
              <w:fldChar w:fldCharType="separate"/>
            </w:r>
            <w:r w:rsidR="00E6091E" w:rsidRPr="00E6091E">
              <w:rPr>
                <w:rFonts w:ascii="Arial" w:hAnsi="Arial" w:cs="Arial"/>
                <w:noProof/>
                <w:webHidden/>
                <w:color w:val="auto"/>
                <w:szCs w:val="24"/>
              </w:rPr>
              <w:t>3</w:t>
            </w:r>
            <w:r w:rsidR="00E6091E" w:rsidRPr="00E6091E">
              <w:rPr>
                <w:rFonts w:ascii="Arial" w:hAnsi="Arial" w:cs="Arial"/>
                <w:noProof/>
                <w:webHidden/>
                <w:color w:val="auto"/>
                <w:szCs w:val="24"/>
              </w:rPr>
              <w:fldChar w:fldCharType="end"/>
            </w:r>
          </w:hyperlink>
        </w:p>
        <w:p w:rsidR="00E6091E" w:rsidRPr="00E6091E" w:rsidRDefault="00E6091E" w:rsidP="00E6091E">
          <w:pPr>
            <w:pStyle w:val="TDC2"/>
            <w:tabs>
              <w:tab w:val="left" w:pos="880"/>
              <w:tab w:val="right" w:leader="dot" w:pos="8830"/>
            </w:tabs>
            <w:jc w:val="both"/>
            <w:rPr>
              <w:rFonts w:ascii="Arial" w:eastAsiaTheme="minorEastAsia" w:hAnsi="Arial" w:cs="Arial"/>
              <w:noProof/>
              <w:sz w:val="24"/>
              <w:szCs w:val="24"/>
              <w:lang w:eastAsia="es-MX"/>
            </w:rPr>
          </w:pPr>
          <w:hyperlink w:anchor="_Toc29986107" w:history="1">
            <w:r w:rsidRPr="00E6091E">
              <w:rPr>
                <w:rStyle w:val="Hipervnculo"/>
                <w:rFonts w:ascii="Arial" w:hAnsi="Arial" w:cs="Arial"/>
                <w:noProof/>
                <w:color w:val="auto"/>
                <w:sz w:val="24"/>
                <w:szCs w:val="24"/>
              </w:rPr>
              <w:t>1.1</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PRUEBA DE INSPECCIÓN EN EL JUICIO LABORAL. POR REGLA GENERAL, NO ES IDÓNEA PARA ACREDITAR LAS SEMANAS COTIZADAS NI EL SALARIO PROMEDIO DE LAS ÚLTIMAS 250 SEMANAS DE COTIZACIÓN PARA LA OBTENCIÓN Y CUANTIFICACIÓN DE LAS PENSIONES POR INVALIDEZ, VEJEZ Y CESANTÍA EN EDAD AVANZADA, EXCEPTO CUANDO DE SU DESAHOGO SE ADVIERTE INFORMACIÓN APTA Y SUFICIENTE QUE DEMUESTRE ESOS ELEMENTOS [INTERRUPCIÓN DE LA JURISPRUDENCIA VII.2o.T. J/9 (10a.)].</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_Toc29986107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3</w:t>
            </w:r>
            <w:r w:rsidRPr="00E6091E">
              <w:rPr>
                <w:rFonts w:ascii="Arial" w:hAnsi="Arial" w:cs="Arial"/>
                <w:noProof/>
                <w:webHidden/>
                <w:sz w:val="24"/>
                <w:szCs w:val="24"/>
              </w:rPr>
              <w:fldChar w:fldCharType="end"/>
            </w:r>
          </w:hyperlink>
        </w:p>
        <w:p w:rsidR="00E6091E" w:rsidRPr="00E6091E" w:rsidRDefault="00E6091E" w:rsidP="00E6091E">
          <w:pPr>
            <w:pStyle w:val="TDC2"/>
            <w:tabs>
              <w:tab w:val="left" w:pos="880"/>
              <w:tab w:val="right" w:leader="dot" w:pos="8830"/>
            </w:tabs>
            <w:jc w:val="both"/>
            <w:rPr>
              <w:rFonts w:ascii="Arial" w:eastAsiaTheme="minorEastAsia" w:hAnsi="Arial" w:cs="Arial"/>
              <w:noProof/>
              <w:sz w:val="24"/>
              <w:szCs w:val="24"/>
              <w:lang w:eastAsia="es-MX"/>
            </w:rPr>
          </w:pPr>
          <w:hyperlink w:anchor="_Toc29986108" w:history="1">
            <w:r w:rsidRPr="00E6091E">
              <w:rPr>
                <w:rStyle w:val="Hipervnculo"/>
                <w:rFonts w:ascii="Arial" w:hAnsi="Arial" w:cs="Arial"/>
                <w:noProof/>
                <w:color w:val="auto"/>
                <w:sz w:val="24"/>
                <w:szCs w:val="24"/>
              </w:rPr>
              <w:t>1.2</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JUICIO DE AMPARO INDIRECTO. PROCEDE CONTRA LA NEGATIVA DEL INSTITUTO MEXICANO DEL SEGURO SOCIAL A PRESTAR EL SERVICIO MÉDICO A UNA TRABAJADORA DURANTE SU EMBARAZO, BAJO EL ARGUMENTO DE QUE FUE DADA DE BAJA POR SU PATRÓN, CON LA FINALIDAD DE QUE AQUÉL SE EXTIENDA PARA EL CASO DE URGENCIA Y, SEGÚN EL GRADO DE GRAVIDEZ PRESENTADO, SE LE CANALICE A UNA INSTITUCIÓN DE SALUD PÚBLICA DIVERSA EN LA QUE SE CONTINÚE SU ATENCIÓN.</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_Toc29986108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5</w:t>
            </w:r>
            <w:r w:rsidRPr="00E6091E">
              <w:rPr>
                <w:rFonts w:ascii="Arial" w:hAnsi="Arial" w:cs="Arial"/>
                <w:noProof/>
                <w:webHidden/>
                <w:sz w:val="24"/>
                <w:szCs w:val="24"/>
              </w:rPr>
              <w:fldChar w:fldCharType="end"/>
            </w:r>
          </w:hyperlink>
        </w:p>
        <w:p w:rsidR="00E6091E" w:rsidRPr="00E6091E" w:rsidRDefault="00E6091E" w:rsidP="00E6091E">
          <w:pPr>
            <w:pStyle w:val="TDC2"/>
            <w:tabs>
              <w:tab w:val="left" w:pos="880"/>
              <w:tab w:val="right" w:leader="dot" w:pos="8830"/>
            </w:tabs>
            <w:jc w:val="both"/>
            <w:rPr>
              <w:rFonts w:ascii="Arial" w:eastAsiaTheme="minorEastAsia" w:hAnsi="Arial" w:cs="Arial"/>
              <w:noProof/>
              <w:sz w:val="24"/>
              <w:szCs w:val="24"/>
              <w:lang w:eastAsia="es-MX"/>
            </w:rPr>
          </w:pPr>
          <w:hyperlink w:anchor="_Toc29986109" w:history="1">
            <w:r w:rsidRPr="00E6091E">
              <w:rPr>
                <w:rStyle w:val="Hipervnculo"/>
                <w:rFonts w:ascii="Arial" w:hAnsi="Arial" w:cs="Arial"/>
                <w:noProof/>
                <w:color w:val="auto"/>
                <w:sz w:val="24"/>
                <w:szCs w:val="24"/>
              </w:rPr>
              <w:t>1.3</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CONSENTIMIENTO EXPRESO O POR MANIFESTACIONES DE VOLUNTAD QUE LO ENTRAÑEN. SE ACTUALIZA EN EL JUICIO DE AMPARO ESA CAUSAL DE IMPROCEDENCIA CUANDO EL PATRÓN CELEBRA UN CONVENIO CON EL QUE CUMPLE EN SU INTEGRIDAD CON EL LAUDO RECLAMADO.</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_Toc29986109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7</w:t>
            </w:r>
            <w:r w:rsidRPr="00E6091E">
              <w:rPr>
                <w:rFonts w:ascii="Arial" w:hAnsi="Arial" w:cs="Arial"/>
                <w:noProof/>
                <w:webHidden/>
                <w:sz w:val="24"/>
                <w:szCs w:val="24"/>
              </w:rPr>
              <w:fldChar w:fldCharType="end"/>
            </w:r>
          </w:hyperlink>
        </w:p>
        <w:p w:rsidR="00E6091E" w:rsidRPr="00E6091E" w:rsidRDefault="00E6091E" w:rsidP="00E6091E">
          <w:pPr>
            <w:pStyle w:val="TDC2"/>
            <w:tabs>
              <w:tab w:val="left" w:pos="880"/>
              <w:tab w:val="right" w:leader="dot" w:pos="8830"/>
            </w:tabs>
            <w:jc w:val="both"/>
            <w:rPr>
              <w:rFonts w:ascii="Arial" w:eastAsiaTheme="minorEastAsia" w:hAnsi="Arial" w:cs="Arial"/>
              <w:noProof/>
              <w:sz w:val="24"/>
              <w:szCs w:val="24"/>
              <w:lang w:eastAsia="es-MX"/>
            </w:rPr>
          </w:pPr>
          <w:hyperlink w:anchor="_Toc29986110" w:history="1">
            <w:r w:rsidRPr="00E6091E">
              <w:rPr>
                <w:rStyle w:val="Hipervnculo"/>
                <w:rFonts w:ascii="Arial" w:hAnsi="Arial" w:cs="Arial"/>
                <w:noProof/>
                <w:color w:val="auto"/>
                <w:sz w:val="24"/>
                <w:szCs w:val="24"/>
              </w:rPr>
              <w:t>1.4</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COMPETENCIA EN MATERIA CIVIL. CUANDO SE RECLAMA LA DEVOLUCIÓN DE LA CANTIDAD DE DINERO QUE EL DEMANDADO RETIRÓ DE SU SUBCUENTA DE VIVIENDA, CORRESPONDE A LA AUTORIDAD LABORAL DILUCIDAR LA ACCIÓN INTENTADA (ENRIQUECIMIENTO ILEGÍTIMO) Y NO A LA CIVIL.</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_Toc29986110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8</w:t>
            </w:r>
            <w:r w:rsidRPr="00E6091E">
              <w:rPr>
                <w:rFonts w:ascii="Arial" w:hAnsi="Arial" w:cs="Arial"/>
                <w:noProof/>
                <w:webHidden/>
                <w:sz w:val="24"/>
                <w:szCs w:val="24"/>
              </w:rPr>
              <w:fldChar w:fldCharType="end"/>
            </w:r>
          </w:hyperlink>
        </w:p>
        <w:p w:rsidR="00E6091E" w:rsidRPr="00E6091E" w:rsidRDefault="00E6091E" w:rsidP="00E6091E">
          <w:pPr>
            <w:pStyle w:val="TDC1"/>
            <w:tabs>
              <w:tab w:val="left" w:pos="440"/>
              <w:tab w:val="right" w:leader="dot" w:pos="8830"/>
            </w:tabs>
            <w:jc w:val="both"/>
            <w:rPr>
              <w:rFonts w:ascii="Arial" w:hAnsi="Arial" w:cs="Arial"/>
              <w:noProof/>
              <w:color w:val="auto"/>
              <w:szCs w:val="24"/>
              <w:lang w:val="es-MX" w:eastAsia="es-MX"/>
            </w:rPr>
          </w:pPr>
          <w:hyperlink w:anchor="_Toc29986111" w:history="1">
            <w:r w:rsidRPr="00E6091E">
              <w:rPr>
                <w:rStyle w:val="Hipervnculo"/>
                <w:rFonts w:ascii="Arial" w:hAnsi="Arial" w:cs="Arial"/>
                <w:noProof/>
                <w:color w:val="auto"/>
                <w:szCs w:val="24"/>
              </w:rPr>
              <w:t>2.</w:t>
            </w:r>
            <w:r w:rsidRPr="00E6091E">
              <w:rPr>
                <w:rFonts w:ascii="Arial" w:hAnsi="Arial" w:cs="Arial"/>
                <w:noProof/>
                <w:color w:val="auto"/>
                <w:szCs w:val="24"/>
                <w:lang w:val="es-MX" w:eastAsia="es-MX"/>
              </w:rPr>
              <w:tab/>
            </w:r>
            <w:r w:rsidRPr="00E6091E">
              <w:rPr>
                <w:rStyle w:val="Hipervnculo"/>
                <w:rFonts w:ascii="Arial" w:hAnsi="Arial" w:cs="Arial"/>
                <w:noProof/>
                <w:color w:val="auto"/>
                <w:szCs w:val="24"/>
              </w:rPr>
              <w:t>FUENTES CONSULTADAS</w:t>
            </w:r>
            <w:r w:rsidRPr="00E6091E">
              <w:rPr>
                <w:rFonts w:ascii="Arial" w:hAnsi="Arial" w:cs="Arial"/>
                <w:noProof/>
                <w:webHidden/>
                <w:color w:val="auto"/>
                <w:szCs w:val="24"/>
              </w:rPr>
              <w:tab/>
            </w:r>
            <w:r w:rsidRPr="00E6091E">
              <w:rPr>
                <w:rFonts w:ascii="Arial" w:hAnsi="Arial" w:cs="Arial"/>
                <w:noProof/>
                <w:webHidden/>
                <w:color w:val="auto"/>
                <w:szCs w:val="24"/>
              </w:rPr>
              <w:fldChar w:fldCharType="begin"/>
            </w:r>
            <w:r w:rsidRPr="00E6091E">
              <w:rPr>
                <w:rFonts w:ascii="Arial" w:hAnsi="Arial" w:cs="Arial"/>
                <w:noProof/>
                <w:webHidden/>
                <w:color w:val="auto"/>
                <w:szCs w:val="24"/>
              </w:rPr>
              <w:instrText xml:space="preserve"> PAGEREF _Toc29986111 \h </w:instrText>
            </w:r>
            <w:r w:rsidRPr="00E6091E">
              <w:rPr>
                <w:rFonts w:ascii="Arial" w:hAnsi="Arial" w:cs="Arial"/>
                <w:noProof/>
                <w:webHidden/>
                <w:color w:val="auto"/>
                <w:szCs w:val="24"/>
              </w:rPr>
            </w:r>
            <w:r w:rsidRPr="00E6091E">
              <w:rPr>
                <w:rFonts w:ascii="Arial" w:hAnsi="Arial" w:cs="Arial"/>
                <w:noProof/>
                <w:webHidden/>
                <w:color w:val="auto"/>
                <w:szCs w:val="24"/>
              </w:rPr>
              <w:fldChar w:fldCharType="separate"/>
            </w:r>
            <w:r w:rsidRPr="00E6091E">
              <w:rPr>
                <w:rFonts w:ascii="Arial" w:hAnsi="Arial" w:cs="Arial"/>
                <w:noProof/>
                <w:webHidden/>
                <w:color w:val="auto"/>
                <w:szCs w:val="24"/>
              </w:rPr>
              <w:t>10</w:t>
            </w:r>
            <w:r w:rsidRPr="00E6091E">
              <w:rPr>
                <w:rFonts w:ascii="Arial" w:hAnsi="Arial" w:cs="Arial"/>
                <w:noProof/>
                <w:webHidden/>
                <w:color w:val="auto"/>
                <w:szCs w:val="24"/>
              </w:rPr>
              <w:fldChar w:fldCharType="end"/>
            </w:r>
          </w:hyperlink>
        </w:p>
        <w:p w:rsidR="00E6091E" w:rsidRPr="00E6091E" w:rsidRDefault="00E6091E" w:rsidP="00E6091E">
          <w:pPr>
            <w:pStyle w:val="TDC2"/>
            <w:tabs>
              <w:tab w:val="left" w:pos="880"/>
              <w:tab w:val="right" w:leader="dot" w:pos="8830"/>
            </w:tabs>
            <w:jc w:val="both"/>
            <w:rPr>
              <w:rFonts w:ascii="Arial" w:eastAsiaTheme="minorEastAsia" w:hAnsi="Arial" w:cs="Arial"/>
              <w:noProof/>
              <w:sz w:val="24"/>
              <w:szCs w:val="24"/>
              <w:lang w:eastAsia="es-MX"/>
            </w:rPr>
          </w:pPr>
          <w:hyperlink w:anchor="_Toc29986112" w:history="1">
            <w:r w:rsidRPr="00E6091E">
              <w:rPr>
                <w:rStyle w:val="Hipervnculo"/>
                <w:rFonts w:ascii="Arial" w:hAnsi="Arial" w:cs="Arial"/>
                <w:noProof/>
                <w:color w:val="auto"/>
                <w:sz w:val="24"/>
                <w:szCs w:val="24"/>
              </w:rPr>
              <w:t>2.1</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CIBEROGRÁFICA:</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_Toc29986112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10</w:t>
            </w:r>
            <w:r w:rsidRPr="00E6091E">
              <w:rPr>
                <w:rFonts w:ascii="Arial" w:hAnsi="Arial" w:cs="Arial"/>
                <w:noProof/>
                <w:webHidden/>
                <w:sz w:val="24"/>
                <w:szCs w:val="24"/>
              </w:rPr>
              <w:fldChar w:fldCharType="end"/>
            </w:r>
          </w:hyperlink>
        </w:p>
        <w:p w:rsidR="00E6091E" w:rsidRDefault="00E6091E" w:rsidP="00E6091E">
          <w:pPr>
            <w:pStyle w:val="TDC3"/>
            <w:tabs>
              <w:tab w:val="left" w:pos="1320"/>
              <w:tab w:val="right" w:leader="dot" w:pos="8830"/>
            </w:tabs>
            <w:jc w:val="both"/>
            <w:rPr>
              <w:rFonts w:eastAsiaTheme="minorEastAsia"/>
              <w:noProof/>
              <w:lang w:eastAsia="es-MX"/>
            </w:rPr>
          </w:pPr>
          <w:hyperlink w:anchor="_Toc29986113" w:history="1">
            <w:r w:rsidRPr="00E6091E">
              <w:rPr>
                <w:rStyle w:val="Hipervnculo"/>
                <w:rFonts w:ascii="Arial" w:hAnsi="Arial" w:cs="Arial"/>
                <w:noProof/>
                <w:color w:val="auto"/>
                <w:sz w:val="24"/>
                <w:szCs w:val="24"/>
              </w:rPr>
              <w:t>2.1.1</w:t>
            </w:r>
            <w:r w:rsidRPr="00E6091E">
              <w:rPr>
                <w:rFonts w:ascii="Arial" w:eastAsiaTheme="minorEastAsia" w:hAnsi="Arial" w:cs="Arial"/>
                <w:noProof/>
                <w:sz w:val="24"/>
                <w:szCs w:val="24"/>
                <w:lang w:eastAsia="es-MX"/>
              </w:rPr>
              <w:tab/>
            </w:r>
            <w:r w:rsidRPr="00E6091E">
              <w:rPr>
                <w:rStyle w:val="Hipervnculo"/>
                <w:rFonts w:ascii="Arial" w:hAnsi="Arial" w:cs="Arial"/>
                <w:noProof/>
                <w:color w:val="auto"/>
                <w:sz w:val="24"/>
                <w:szCs w:val="24"/>
              </w:rPr>
              <w:t>SEMANARIO JUDICIAL DE LA FEDERACIÓN</w:t>
            </w:r>
            <w:r w:rsidRPr="00E6091E">
              <w:rPr>
                <w:rFonts w:ascii="Arial" w:hAnsi="Arial" w:cs="Arial"/>
                <w:noProof/>
                <w:webHidden/>
                <w:sz w:val="24"/>
                <w:szCs w:val="24"/>
              </w:rPr>
              <w:tab/>
            </w:r>
            <w:r w:rsidRPr="00E6091E">
              <w:rPr>
                <w:rFonts w:ascii="Arial" w:hAnsi="Arial" w:cs="Arial"/>
                <w:noProof/>
                <w:webHidden/>
                <w:sz w:val="24"/>
                <w:szCs w:val="24"/>
              </w:rPr>
              <w:fldChar w:fldCharType="begin"/>
            </w:r>
            <w:r w:rsidRPr="00E6091E">
              <w:rPr>
                <w:rFonts w:ascii="Arial" w:hAnsi="Arial" w:cs="Arial"/>
                <w:noProof/>
                <w:webHidden/>
                <w:sz w:val="24"/>
                <w:szCs w:val="24"/>
              </w:rPr>
              <w:instrText xml:space="preserve"> PAGEREF _Toc29986113 \h </w:instrText>
            </w:r>
            <w:r w:rsidRPr="00E6091E">
              <w:rPr>
                <w:rFonts w:ascii="Arial" w:hAnsi="Arial" w:cs="Arial"/>
                <w:noProof/>
                <w:webHidden/>
                <w:sz w:val="24"/>
                <w:szCs w:val="24"/>
              </w:rPr>
            </w:r>
            <w:r w:rsidRPr="00E6091E">
              <w:rPr>
                <w:rFonts w:ascii="Arial" w:hAnsi="Arial" w:cs="Arial"/>
                <w:noProof/>
                <w:webHidden/>
                <w:sz w:val="24"/>
                <w:szCs w:val="24"/>
              </w:rPr>
              <w:fldChar w:fldCharType="separate"/>
            </w:r>
            <w:r w:rsidRPr="00E6091E">
              <w:rPr>
                <w:rFonts w:ascii="Arial" w:hAnsi="Arial" w:cs="Arial"/>
                <w:noProof/>
                <w:webHidden/>
                <w:sz w:val="24"/>
                <w:szCs w:val="24"/>
              </w:rPr>
              <w:t>10</w:t>
            </w:r>
            <w:r w:rsidRPr="00E6091E">
              <w:rPr>
                <w:rFonts w:ascii="Arial" w:hAnsi="Arial" w:cs="Arial"/>
                <w:noProof/>
                <w:webHidden/>
                <w:sz w:val="24"/>
                <w:szCs w:val="24"/>
              </w:rPr>
              <w:fldChar w:fldCharType="end"/>
            </w:r>
          </w:hyperlink>
        </w:p>
        <w:p w:rsidR="002C2386" w:rsidRDefault="002C2386" w:rsidP="00E6091E">
          <w:pPr>
            <w:jc w:val="both"/>
          </w:pPr>
          <w:r w:rsidRPr="00E6091E">
            <w:rPr>
              <w:rFonts w:ascii="Arial" w:hAnsi="Arial" w:cs="Arial"/>
              <w:b/>
              <w:bCs/>
              <w:color w:val="B35E06" w:themeColor="accent1" w:themeShade="BF"/>
              <w:szCs w:val="24"/>
            </w:rPr>
            <w:fldChar w:fldCharType="end"/>
          </w:r>
        </w:p>
      </w:sdtContent>
    </w:sdt>
    <w:p w:rsidR="002C2386" w:rsidRDefault="002C2386">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917825" w:rsidRPr="002C2386" w:rsidRDefault="00917825" w:rsidP="002C2386">
      <w:pPr>
        <w:pStyle w:val="Ttulo1"/>
        <w:numPr>
          <w:ilvl w:val="0"/>
          <w:numId w:val="7"/>
        </w:numPr>
        <w:jc w:val="center"/>
        <w:rPr>
          <w:rFonts w:ascii="Arial" w:hAnsi="Arial" w:cs="Arial"/>
          <w:color w:val="B35E06" w:themeColor="accent1" w:themeShade="BF"/>
          <w:sz w:val="36"/>
          <w:szCs w:val="36"/>
        </w:rPr>
      </w:pPr>
      <w:bookmarkStart w:id="0" w:name="_Toc29986106"/>
      <w:bookmarkStart w:id="1" w:name="_GoBack"/>
      <w:bookmarkEnd w:id="1"/>
      <w:r w:rsidRPr="002C2386">
        <w:rPr>
          <w:rFonts w:ascii="Arial" w:hAnsi="Arial" w:cs="Arial"/>
          <w:color w:val="B35E06" w:themeColor="accent1" w:themeShade="BF"/>
          <w:sz w:val="36"/>
          <w:szCs w:val="36"/>
        </w:rPr>
        <w:lastRenderedPageBreak/>
        <w:t>TESIS AISLADAS EN MATERIA LABORAL</w:t>
      </w:r>
      <w:bookmarkEnd w:id="0"/>
    </w:p>
    <w:p w:rsidR="00917825" w:rsidRDefault="00917825" w:rsidP="00917825">
      <w:pPr>
        <w:spacing w:after="0" w:line="240" w:lineRule="auto"/>
        <w:jc w:val="both"/>
        <w:rPr>
          <w:rFonts w:ascii="Arial" w:hAnsi="Arial" w:cs="Arial"/>
        </w:rPr>
      </w:pPr>
    </w:p>
    <w:p w:rsidR="00AF68F6" w:rsidRPr="00917825" w:rsidRDefault="004E4028" w:rsidP="00917825">
      <w:pPr>
        <w:spacing w:after="0" w:line="240" w:lineRule="auto"/>
        <w:jc w:val="both"/>
        <w:rPr>
          <w:rFonts w:ascii="Arial" w:hAnsi="Arial" w:cs="Arial"/>
        </w:rPr>
      </w:pPr>
      <w:r>
        <w:rPr>
          <w:rFonts w:ascii="Arial" w:hAnsi="Arial" w:cs="Arial"/>
        </w:rPr>
        <w:t xml:space="preserve">1. </w:t>
      </w:r>
      <w:r w:rsidR="00AF68F6" w:rsidRPr="00917825">
        <w:rPr>
          <w:rFonts w:ascii="Arial" w:hAnsi="Arial" w:cs="Arial"/>
        </w:rPr>
        <w:t xml:space="preserve">Época: Décima Época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Registro: 2021390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Instancia: Tribunales Colegiados de Circuito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Tipo de Tesis: Aislada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Fuente: Semanario Judicial de la Federación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Publicación: viernes 10 de enero de 2020 10:11 h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Materia(s): (Laboral) </w:t>
      </w: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Tesis: VII.2o.T.258 L (10a.) </w:t>
      </w:r>
    </w:p>
    <w:p w:rsidR="00AF68F6" w:rsidRPr="00917825" w:rsidRDefault="00AF68F6" w:rsidP="00917825">
      <w:pPr>
        <w:spacing w:after="0" w:line="240" w:lineRule="auto"/>
        <w:jc w:val="both"/>
        <w:rPr>
          <w:rFonts w:ascii="Arial" w:hAnsi="Arial" w:cs="Arial"/>
        </w:rPr>
      </w:pPr>
    </w:p>
    <w:p w:rsidR="00AF68F6" w:rsidRPr="002C2386" w:rsidRDefault="00AF68F6" w:rsidP="002C2386">
      <w:pPr>
        <w:pStyle w:val="Ttulo2"/>
        <w:jc w:val="both"/>
        <w:rPr>
          <w:rFonts w:ascii="Arial" w:hAnsi="Arial" w:cs="Arial"/>
          <w:color w:val="B35E06" w:themeColor="accent1" w:themeShade="BF"/>
          <w:sz w:val="26"/>
          <w:szCs w:val="26"/>
        </w:rPr>
      </w:pPr>
      <w:bookmarkStart w:id="2" w:name="_Toc29986107"/>
      <w:r w:rsidRPr="002C2386">
        <w:rPr>
          <w:rFonts w:ascii="Arial" w:hAnsi="Arial" w:cs="Arial"/>
          <w:color w:val="B35E06" w:themeColor="accent1" w:themeShade="BF"/>
          <w:sz w:val="26"/>
          <w:szCs w:val="26"/>
        </w:rPr>
        <w:t>PRUEBA DE INSPECCIÓN EN EL JUICIO LABORAL. POR REGLA GENERAL, NO ES IDÓNEA PARA ACREDITAR LAS SEMANAS COTIZADAS NI EL SALARIO PROMEDIO DE LAS ÚLTIMAS 250 SEMANAS DE COTIZACIÓN PARA LA OBTENCIÓN Y CUANTIFICACIÓN DE LAS PENSIONES POR INVALIDEZ, VEJEZ Y CESANTÍA EN EDAD AVANZADA, EXCEPTO CUANDO DE SU DESAHOGO SE ADVIERTE INFORMACIÓN APTA Y SUFICIENTE QUE DEMUESTRE ESOS ELEMENTOS [INTERRUPCIÓN DE LA JURISPRUDENCIA VII.2o.T. J/9 (10a.)].</w:t>
      </w:r>
      <w:bookmarkEnd w:id="2"/>
    </w:p>
    <w:p w:rsidR="00AF68F6" w:rsidRPr="00917825" w:rsidRDefault="00AF68F6" w:rsidP="00917825">
      <w:pPr>
        <w:spacing w:after="0" w:line="240" w:lineRule="auto"/>
        <w:jc w:val="both"/>
        <w:rPr>
          <w:rFonts w:ascii="Arial" w:hAnsi="Arial" w:cs="Arial"/>
        </w:rPr>
      </w:pP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Este órgano jurisdiccional en la jurisprudencia VII.2o.T. J/9 (10a.), de título y subtítulo: "PRUEBA DE INSPECCIÓN EN EL JUICIO LABORAL. NO ES LA IDÓNEA PARA ACREDITAR LAS SEMANAS COTIZADAS NI EL SALARIO PROMEDIO DE LAS ÚLTIMAS 250 SEMANAS DE COTIZACIÓN PARA LA OBTENCIÓN Y CUANTIFICACIÓN DE LAS PENSIONES POR INVALIDEZ, VEJEZ Y CESANTÍA EN EDAD AVANZADA.", sostuvo que ese medio de convicción no es idóneo para tales fines, ya que esa información no puede apreciarla a simple vista el funcionario que la realiza, sino que para ello deben efectuarse determinadas operaciones aritméticas, esto es, para obtener la cantidad total de semanas cotizadas deben sumarse cada una de éstas y para determinar el promedio salarial, deben sumarse los salarios registrados de las últimas 250 semanas de cotización, y después dividir la cantidad resultante entre ese número de semanas; sin embargo, una nueva reflexión en torno al tema, permite concluir y aclarar que existen excepciones a esa regla general, como lo es cuando de la información que se obtenga en el desahogo de la prueba de </w:t>
      </w:r>
      <w:r w:rsidRPr="00917825">
        <w:rPr>
          <w:rFonts w:ascii="Arial" w:hAnsi="Arial" w:cs="Arial"/>
        </w:rPr>
        <w:lastRenderedPageBreak/>
        <w:t>inspección practicada por el actuario de la autoridad laboral puedan advertirse elementos suficientes para establecer con precisión tanto el salario promedio de las últimas 250 semanas de cotización de la parte trabajadora, como el número total de semanas que cotizó, como pudiera ser, a manera de ejemplos, que de los documentos sobre los cuales se ofreció dicho medio de convicción, consistentes en los avisos de inscripción, avisos de baja, avisos de modificación de salarios, registros patronales, avisos de alta al régimen obligatorio del seguro social, catálogo de avisos originales o del Sistema Integral de Derechos y Obligaciones (</w:t>
      </w:r>
      <w:proofErr w:type="spellStart"/>
      <w:r w:rsidRPr="00917825">
        <w:rPr>
          <w:rFonts w:ascii="Arial" w:hAnsi="Arial" w:cs="Arial"/>
        </w:rPr>
        <w:t>SINDO</w:t>
      </w:r>
      <w:proofErr w:type="spellEnd"/>
      <w:r w:rsidRPr="00917825">
        <w:rPr>
          <w:rFonts w:ascii="Arial" w:hAnsi="Arial" w:cs="Arial"/>
        </w:rPr>
        <w:t>), puedan apreciarse los periodos de cotización y el monto de los salarios con los que estuvo dado de alta el trabajador y que el actuario refleje dicha información en el acta que al efecto lleve a cabo o que anexe a la misma documentos de los que se aprecien los datos en comento, para que con éstos, la autoridad laboral, al momento de valorar el medio de convicción de que se trata, pueda establecer con plena certeza el salario promedio y el total de semanas cotizadas por la trabajadora. De ahí que, por excepción, la prueba de inspección sí puede ser idónea para acreditar las semanas cotizadas y el salario promedio de las últimas 250 semanas de cotización para la obtención y cuantificación de las pensiones por invalidez, vejez y cesantía en edad avanzada, lo que conduce a interrumpir la citada jurisprudencia.</w:t>
      </w:r>
    </w:p>
    <w:p w:rsidR="00AF68F6" w:rsidRPr="00917825" w:rsidRDefault="00AF68F6" w:rsidP="00917825">
      <w:pPr>
        <w:spacing w:after="0" w:line="240" w:lineRule="auto"/>
        <w:jc w:val="both"/>
        <w:rPr>
          <w:rFonts w:ascii="Arial" w:hAnsi="Arial" w:cs="Arial"/>
        </w:rPr>
      </w:pPr>
    </w:p>
    <w:p w:rsidR="00AF68F6" w:rsidRPr="00917825" w:rsidRDefault="00AF68F6" w:rsidP="00917825">
      <w:pPr>
        <w:spacing w:after="0" w:line="240" w:lineRule="auto"/>
        <w:jc w:val="both"/>
        <w:rPr>
          <w:rFonts w:ascii="Arial" w:hAnsi="Arial" w:cs="Arial"/>
        </w:rPr>
      </w:pPr>
      <w:r w:rsidRPr="00917825">
        <w:rPr>
          <w:rFonts w:ascii="Arial" w:hAnsi="Arial" w:cs="Arial"/>
        </w:rPr>
        <w:t>SEGUNDO TRIBUNAL COLEGIADO EN MATERIA DE TRABAJO DEL SÉPTIMO CIRCUITO.</w:t>
      </w:r>
    </w:p>
    <w:p w:rsidR="00AF68F6" w:rsidRPr="00917825" w:rsidRDefault="00AF68F6" w:rsidP="00917825">
      <w:pPr>
        <w:spacing w:after="0" w:line="240" w:lineRule="auto"/>
        <w:jc w:val="both"/>
        <w:rPr>
          <w:rFonts w:ascii="Arial" w:hAnsi="Arial" w:cs="Arial"/>
        </w:rPr>
      </w:pP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Amparo en revisión 129/2018. 12 de septiembre de 2019. Unanimidad de votos. Ponente: Jorge Sebastián Martínez García. Secretario: Juan Manuel Jiménez </w:t>
      </w:r>
      <w:proofErr w:type="spellStart"/>
      <w:r w:rsidRPr="00917825">
        <w:rPr>
          <w:rFonts w:ascii="Arial" w:hAnsi="Arial" w:cs="Arial"/>
        </w:rPr>
        <w:t>Jiménez</w:t>
      </w:r>
      <w:proofErr w:type="spellEnd"/>
      <w:r w:rsidRPr="00917825">
        <w:rPr>
          <w:rFonts w:ascii="Arial" w:hAnsi="Arial" w:cs="Arial"/>
        </w:rPr>
        <w:t>.</w:t>
      </w:r>
    </w:p>
    <w:p w:rsidR="00AF68F6" w:rsidRPr="00917825" w:rsidRDefault="00AF68F6" w:rsidP="00917825">
      <w:pPr>
        <w:spacing w:after="0" w:line="240" w:lineRule="auto"/>
        <w:jc w:val="both"/>
        <w:rPr>
          <w:rFonts w:ascii="Arial" w:hAnsi="Arial" w:cs="Arial"/>
        </w:rPr>
      </w:pP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Amparo directo 983/2018. 20 de septiembre de 2019. Unanimidad de votos. Ponente: Jorge Sebastián Martínez García. Secretario: Juan Manuel Jiménez </w:t>
      </w:r>
      <w:proofErr w:type="spellStart"/>
      <w:r w:rsidRPr="00917825">
        <w:rPr>
          <w:rFonts w:ascii="Arial" w:hAnsi="Arial" w:cs="Arial"/>
        </w:rPr>
        <w:t>Jiménez</w:t>
      </w:r>
      <w:proofErr w:type="spellEnd"/>
      <w:r w:rsidRPr="00917825">
        <w:rPr>
          <w:rFonts w:ascii="Arial" w:hAnsi="Arial" w:cs="Arial"/>
        </w:rPr>
        <w:t>.</w:t>
      </w:r>
    </w:p>
    <w:p w:rsidR="00AF68F6" w:rsidRPr="00917825" w:rsidRDefault="00AF68F6" w:rsidP="00917825">
      <w:pPr>
        <w:spacing w:after="0" w:line="240" w:lineRule="auto"/>
        <w:jc w:val="both"/>
        <w:rPr>
          <w:rFonts w:ascii="Arial" w:hAnsi="Arial" w:cs="Arial"/>
        </w:rPr>
      </w:pPr>
    </w:p>
    <w:p w:rsidR="00AF68F6" w:rsidRPr="00917825" w:rsidRDefault="00AF68F6" w:rsidP="00917825">
      <w:pPr>
        <w:spacing w:after="0" w:line="240" w:lineRule="auto"/>
        <w:jc w:val="both"/>
        <w:rPr>
          <w:rFonts w:ascii="Arial" w:hAnsi="Arial" w:cs="Arial"/>
        </w:rPr>
      </w:pPr>
      <w:r w:rsidRPr="00917825">
        <w:rPr>
          <w:rFonts w:ascii="Arial" w:hAnsi="Arial" w:cs="Arial"/>
        </w:rPr>
        <w:t xml:space="preserve">Nota: Esta tesis interrumpe el criterio sostenido por el propio tribunal en la jurisprudencia VII.2o.T. J/9 (10a.), de título y subtítulo: "PRUEBA DE INSPECCIÓN EN EL JUICIO LABORAL. NO ES LA IDÓNEA PARA ACREDITAR LAS SEMANAS COTIZADAS NI EL SALARIO PROMEDIO DE LAS ÚLTIMAS 250 SEMANAS DE COTIZACIÓN PARA LA OBTENCIÓN Y CUANTIFICACIÓN DE LAS PENSIONES POR INVALIDEZ, VEJEZ Y CESANTÍA EN EDAD AVANZADA.", publicada en el Semanario Judicial de la Federación del viernes 3 de marzo de 2017 a las 10:06 horas y en la Gaceta del Semanario Judicial de la Federación, </w:t>
      </w:r>
      <w:r w:rsidRPr="00917825">
        <w:rPr>
          <w:rFonts w:ascii="Arial" w:hAnsi="Arial" w:cs="Arial"/>
        </w:rPr>
        <w:lastRenderedPageBreak/>
        <w:t>Décima Época, Libro 40, Tomo IV, marzo de 2017, página 2544, registro digital: 2013799.</w:t>
      </w:r>
    </w:p>
    <w:p w:rsidR="00AF68F6" w:rsidRPr="00917825" w:rsidRDefault="00AF68F6" w:rsidP="00917825">
      <w:pPr>
        <w:spacing w:after="0" w:line="240" w:lineRule="auto"/>
        <w:jc w:val="both"/>
        <w:rPr>
          <w:rFonts w:ascii="Arial" w:hAnsi="Arial" w:cs="Arial"/>
        </w:rPr>
      </w:pPr>
    </w:p>
    <w:p w:rsidR="00087300" w:rsidRDefault="00087300" w:rsidP="00917825">
      <w:pPr>
        <w:spacing w:after="0" w:line="240" w:lineRule="auto"/>
        <w:jc w:val="both"/>
        <w:rPr>
          <w:rFonts w:ascii="Arial" w:hAnsi="Arial" w:cs="Arial"/>
        </w:rPr>
      </w:pPr>
    </w:p>
    <w:p w:rsidR="00CF1549" w:rsidRPr="002C2386" w:rsidRDefault="002C2386" w:rsidP="002C2386">
      <w:pPr>
        <w:spacing w:after="0" w:line="240" w:lineRule="auto"/>
        <w:jc w:val="both"/>
        <w:rPr>
          <w:rFonts w:ascii="Arial" w:hAnsi="Arial" w:cs="Arial"/>
        </w:rPr>
      </w:pPr>
      <w:r>
        <w:rPr>
          <w:rFonts w:ascii="Arial" w:hAnsi="Arial" w:cs="Arial"/>
        </w:rPr>
        <w:t xml:space="preserve">2. </w:t>
      </w:r>
      <w:r w:rsidR="00CF1549" w:rsidRPr="002C2386">
        <w:rPr>
          <w:rFonts w:ascii="Arial" w:hAnsi="Arial" w:cs="Arial"/>
        </w:rPr>
        <w:t xml:space="preserve">Época: Décima Época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Registro: 2021384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Instancia: Tribunales Colegiados de Circuito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Tipo de Tesis: Aislada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Fuente: Semanario Judicial de la Federación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Publicación: viernes 10 de enero de 2020 10:11 h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Materia(s): (Común) </w:t>
      </w: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Tesis: V.1o.P.A.8 A (10a.) </w:t>
      </w:r>
    </w:p>
    <w:p w:rsidR="00CF1549" w:rsidRPr="00CF1549" w:rsidRDefault="00CF1549" w:rsidP="00CF1549">
      <w:pPr>
        <w:spacing w:after="0" w:line="240" w:lineRule="auto"/>
        <w:jc w:val="both"/>
        <w:rPr>
          <w:rFonts w:ascii="Arial" w:hAnsi="Arial" w:cs="Arial"/>
        </w:rPr>
      </w:pPr>
    </w:p>
    <w:p w:rsidR="00CF1549" w:rsidRPr="004E4028" w:rsidRDefault="00CF1549" w:rsidP="004E4028">
      <w:pPr>
        <w:pStyle w:val="Ttulo2"/>
        <w:jc w:val="both"/>
        <w:rPr>
          <w:rFonts w:ascii="Arial" w:hAnsi="Arial" w:cs="Arial"/>
          <w:color w:val="B35E06" w:themeColor="accent1" w:themeShade="BF"/>
          <w:sz w:val="26"/>
          <w:szCs w:val="26"/>
        </w:rPr>
      </w:pPr>
      <w:bookmarkStart w:id="3" w:name="_Toc29986108"/>
      <w:r w:rsidRPr="004E4028">
        <w:rPr>
          <w:rFonts w:ascii="Arial" w:hAnsi="Arial" w:cs="Arial"/>
          <w:color w:val="B35E06" w:themeColor="accent1" w:themeShade="BF"/>
          <w:sz w:val="26"/>
          <w:szCs w:val="26"/>
        </w:rPr>
        <w:t>JUICIO DE AMPARO INDIRECTO. PROCEDE CONTRA LA NEGATIVA DEL INSTITUTO MEXICANO DEL SEGURO SOCIAL A PRESTAR EL SERVICIO MÉDICO A UNA TRABAJADORA DURANTE SU EMBARAZO, BAJO EL ARGUMENTO DE QUE FUE DADA DE BAJA POR SU PATRÓN, CON LA FINALIDAD DE QUE AQUÉL SE EXTIENDA PARA EL CASO DE URGENCIA Y, SEGÚN EL GRADO DE GRAVIDEZ PRESENTADO, SE LE CANALICE A UNA INSTITUCIÓN DE SALUD PÚBLICA DIVERSA EN LA QUE SE CONTINÚE SU ATENCIÓN.</w:t>
      </w:r>
      <w:r w:rsidR="0042713F">
        <w:rPr>
          <w:rStyle w:val="Refdenotaalpie"/>
          <w:rFonts w:ascii="Arial" w:hAnsi="Arial" w:cs="Arial"/>
          <w:color w:val="B35E06" w:themeColor="accent1" w:themeShade="BF"/>
          <w:sz w:val="26"/>
          <w:szCs w:val="26"/>
        </w:rPr>
        <w:footnoteReference w:id="1"/>
      </w:r>
      <w:bookmarkEnd w:id="3"/>
    </w:p>
    <w:p w:rsidR="00CF1549" w:rsidRPr="00CF1549" w:rsidRDefault="00CF1549" w:rsidP="00CF1549">
      <w:pPr>
        <w:spacing w:after="0" w:line="240" w:lineRule="auto"/>
        <w:jc w:val="both"/>
        <w:rPr>
          <w:rFonts w:ascii="Arial" w:hAnsi="Arial" w:cs="Arial"/>
        </w:rPr>
      </w:pP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El Instituto Mexicano del Seguro Social es un ente público del Estado, facultado para emitir actos a través de los cuales resuelve lo relativo a las prestaciones de seguridad social, con los que pueden crearse, modificarse o extinguirse situaciones jurídicas de los asegurados o beneficiarios, como sucede cuando niega la prestación del servicio médico a una trabajadora durante su embarazo, bajo el argumento de que fue dada de baja por su patrón, pues esa determinación entraña el ejercicio de facultades de decisión. Por tanto, si el derecho humano a la protección de la salud representa para el Estado la obligación de garantizar a todas las personas el disfrute de los servicios correspondientes por medio de la atención médica, para proteger, promover y respetar su salud, de manera preventiva, curativa, de rehabilitación o paliativa, cuando se le atribuye a dicho instituto la negativa indicada, procede el juicio de amparo indirecto, sin mediar </w:t>
      </w:r>
      <w:r w:rsidRPr="00CF1549">
        <w:rPr>
          <w:rFonts w:ascii="Arial" w:hAnsi="Arial" w:cs="Arial"/>
        </w:rPr>
        <w:lastRenderedPageBreak/>
        <w:t>jurisdicción ordinaria, a pesar de tratarse de un acto relativo a su carácter de ente asegurador y, por ello, surgido en un plano de coordinación con el particular, por ser necesario garantizar la salvaguarda efectiva del derecho humano señalado de la quejosa –así como la de su infante neonato–, reconocido en el artículo 4o. de la Constitución Política de los Estados Unidos Mexicanos, lo que, además, presupone la aplicación de la herramienta de perspectiva de género y evaluar la decisión de la autoridad en función del interés superior del menor, con la finalidad de que el servicio se extienda para el caso de urgencia y, según el grado de embarazo presentado, se le canalice a una institución de salud pública diversa en la que se continúe su atención. Lo anterior es acorde con lo razonado por la Segunda Sala de la Suprema Corte de Justicia de la Nación, en la tesis de jurisprudencia 2a</w:t>
      </w:r>
      <w:proofErr w:type="gramStart"/>
      <w:r w:rsidRPr="00CF1549">
        <w:rPr>
          <w:rFonts w:ascii="Arial" w:hAnsi="Arial" w:cs="Arial"/>
        </w:rPr>
        <w:t>./</w:t>
      </w:r>
      <w:proofErr w:type="gramEnd"/>
      <w:r w:rsidRPr="00CF1549">
        <w:rPr>
          <w:rFonts w:ascii="Arial" w:hAnsi="Arial" w:cs="Arial"/>
        </w:rPr>
        <w:t>J. 66/2016 (10a.), de título y subtítulo: "INSTITUTO MEXICANO DEL SEGURO SOCIAL. EL JUICIO DE AMPARO PROCEDE CONTRA LA OMISIÓN DE DAR RESPUESTA A UNA SOLICITUD FORMULADA EN EJERCICIO DEL DERECHO DE PETICIÓN QUE DEBE RESPONDER EN SU CARÁCTER DE ENTE ASEGURADOR.", en la que determinó que cuando se atribuye al organismo mencionado la omisión de responder una solicitud en materia de pensiones, procede el juicio de amparo indirecto en su contra, debido a que, en este caso, es necesario garantizar la protección efectiva del derecho de petición, con la única finalidad de que el servidor público correspondiente dé respuesta al particular.</w:t>
      </w:r>
    </w:p>
    <w:p w:rsidR="00CF1549" w:rsidRPr="00CF1549" w:rsidRDefault="00CF1549" w:rsidP="00CF1549">
      <w:pPr>
        <w:spacing w:after="0" w:line="240" w:lineRule="auto"/>
        <w:jc w:val="both"/>
        <w:rPr>
          <w:rFonts w:ascii="Arial" w:hAnsi="Arial" w:cs="Arial"/>
        </w:rPr>
      </w:pPr>
    </w:p>
    <w:p w:rsidR="00CF1549" w:rsidRPr="00CF1549" w:rsidRDefault="00CF1549" w:rsidP="00CF1549">
      <w:pPr>
        <w:spacing w:after="0" w:line="240" w:lineRule="auto"/>
        <w:jc w:val="both"/>
        <w:rPr>
          <w:rFonts w:ascii="Arial" w:hAnsi="Arial" w:cs="Arial"/>
        </w:rPr>
      </w:pPr>
      <w:r w:rsidRPr="00CF1549">
        <w:rPr>
          <w:rFonts w:ascii="Arial" w:hAnsi="Arial" w:cs="Arial"/>
        </w:rPr>
        <w:t>PRIMER TRIBUNAL COLEGIADO EN MATERIAS PENAL Y ADMINISTRATIVA DEL QUINTO CIRCUITO.</w:t>
      </w:r>
    </w:p>
    <w:p w:rsidR="00CF1549" w:rsidRPr="00CF1549" w:rsidRDefault="00CF1549" w:rsidP="00CF1549">
      <w:pPr>
        <w:spacing w:after="0" w:line="240" w:lineRule="auto"/>
        <w:jc w:val="both"/>
        <w:rPr>
          <w:rFonts w:ascii="Arial" w:hAnsi="Arial" w:cs="Arial"/>
        </w:rPr>
      </w:pPr>
    </w:p>
    <w:p w:rsidR="00CF1549" w:rsidRPr="00CF1549" w:rsidRDefault="00CF1549" w:rsidP="00CF1549">
      <w:pPr>
        <w:spacing w:after="0" w:line="240" w:lineRule="auto"/>
        <w:jc w:val="both"/>
        <w:rPr>
          <w:rFonts w:ascii="Arial" w:hAnsi="Arial" w:cs="Arial"/>
        </w:rPr>
      </w:pPr>
      <w:r w:rsidRPr="00CF1549">
        <w:rPr>
          <w:rFonts w:ascii="Arial" w:hAnsi="Arial" w:cs="Arial"/>
        </w:rPr>
        <w:t xml:space="preserve">Amparo en revisión 864/2018. 28 de octubre de 2019. Unanimidad de votos. Ponente: Gabriel Alejandro Palomares Acosta. Secretaria: Claudia Guadalupe Téllez </w:t>
      </w:r>
      <w:proofErr w:type="spellStart"/>
      <w:r w:rsidRPr="00CF1549">
        <w:rPr>
          <w:rFonts w:ascii="Arial" w:hAnsi="Arial" w:cs="Arial"/>
        </w:rPr>
        <w:t>Fimbres</w:t>
      </w:r>
      <w:proofErr w:type="spellEnd"/>
      <w:r w:rsidRPr="00CF1549">
        <w:rPr>
          <w:rFonts w:ascii="Arial" w:hAnsi="Arial" w:cs="Arial"/>
        </w:rPr>
        <w:t>.</w:t>
      </w:r>
    </w:p>
    <w:p w:rsidR="00CF1549" w:rsidRPr="00CF1549" w:rsidRDefault="00CF1549" w:rsidP="00CF1549">
      <w:pPr>
        <w:spacing w:after="0" w:line="240" w:lineRule="auto"/>
        <w:jc w:val="both"/>
        <w:rPr>
          <w:rFonts w:ascii="Arial" w:hAnsi="Arial" w:cs="Arial"/>
        </w:rPr>
      </w:pPr>
    </w:p>
    <w:p w:rsidR="00CF1549" w:rsidRPr="00CF1549" w:rsidRDefault="00CF1549" w:rsidP="00CF1549">
      <w:pPr>
        <w:spacing w:after="0" w:line="240" w:lineRule="auto"/>
        <w:jc w:val="both"/>
        <w:rPr>
          <w:rFonts w:ascii="Arial" w:hAnsi="Arial" w:cs="Arial"/>
        </w:rPr>
      </w:pPr>
      <w:r w:rsidRPr="00CF1549">
        <w:rPr>
          <w:rFonts w:ascii="Arial" w:hAnsi="Arial" w:cs="Arial"/>
        </w:rPr>
        <w:t>Nota: La tesis de jurisprudencia 2a./J. 66/2016 (10a.) citada, aparece publicada en el Semanario Judicial de la Federación del viernes 24 de junio de 2016 a las 10:24 horas y en la Gaceta del Semanario Judicial de la Federación, Décima Época, Libro 31, Tomo II, junio de 2016, página 898, registro digital: 2011948.</w:t>
      </w:r>
    </w:p>
    <w:p w:rsidR="00CF1549" w:rsidRPr="00CF1549" w:rsidRDefault="00CF1549" w:rsidP="00CF1549">
      <w:pPr>
        <w:spacing w:after="0" w:line="240" w:lineRule="auto"/>
        <w:jc w:val="both"/>
        <w:rPr>
          <w:rFonts w:ascii="Arial" w:hAnsi="Arial" w:cs="Arial"/>
          <w:sz w:val="18"/>
          <w:szCs w:val="18"/>
        </w:rPr>
      </w:pPr>
    </w:p>
    <w:p w:rsidR="00CF1549" w:rsidRDefault="00CF1549" w:rsidP="00917825">
      <w:pPr>
        <w:spacing w:after="0" w:line="240" w:lineRule="auto"/>
        <w:jc w:val="both"/>
        <w:rPr>
          <w:rFonts w:ascii="Arial" w:hAnsi="Arial" w:cs="Arial"/>
          <w:sz w:val="18"/>
          <w:szCs w:val="18"/>
        </w:rPr>
      </w:pPr>
    </w:p>
    <w:p w:rsidR="00525BD2" w:rsidRDefault="00525BD2" w:rsidP="00917825">
      <w:pPr>
        <w:spacing w:after="0" w:line="240" w:lineRule="auto"/>
        <w:jc w:val="both"/>
        <w:rPr>
          <w:rFonts w:ascii="Arial" w:hAnsi="Arial" w:cs="Arial"/>
          <w:sz w:val="18"/>
          <w:szCs w:val="18"/>
        </w:rPr>
      </w:pPr>
    </w:p>
    <w:p w:rsidR="00525BD2" w:rsidRPr="00525BD2" w:rsidRDefault="0042713F" w:rsidP="00525BD2">
      <w:pPr>
        <w:spacing w:after="0" w:line="240" w:lineRule="auto"/>
        <w:jc w:val="both"/>
        <w:rPr>
          <w:rFonts w:ascii="Arial" w:hAnsi="Arial" w:cs="Arial"/>
          <w:szCs w:val="24"/>
        </w:rPr>
      </w:pPr>
      <w:r>
        <w:rPr>
          <w:rFonts w:ascii="Arial" w:hAnsi="Arial" w:cs="Arial"/>
          <w:szCs w:val="24"/>
        </w:rPr>
        <w:t xml:space="preserve">3. </w:t>
      </w:r>
      <w:r w:rsidR="00525BD2" w:rsidRPr="00525BD2">
        <w:rPr>
          <w:rFonts w:ascii="Arial" w:hAnsi="Arial" w:cs="Arial"/>
          <w:szCs w:val="24"/>
        </w:rPr>
        <w:t xml:space="preserve">Época: Décima Época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Registro: 2021377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Instancia: Tribunales Colegiados de Circuito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Tipo de Tesis: Aislada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lastRenderedPageBreak/>
        <w:t xml:space="preserve">Fuente: Semanario Judicial de la Federación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Publicación: viernes 10 de enero de 2020 10:11 h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Materia(s): (Laboral) </w:t>
      </w: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 xml:space="preserve">Tesis: VI.1o.T.42 L (10a.) </w:t>
      </w:r>
    </w:p>
    <w:p w:rsidR="00525BD2" w:rsidRPr="00525BD2" w:rsidRDefault="00525BD2" w:rsidP="00525BD2">
      <w:pPr>
        <w:spacing w:after="0" w:line="240" w:lineRule="auto"/>
        <w:jc w:val="both"/>
        <w:rPr>
          <w:rFonts w:ascii="Arial" w:hAnsi="Arial" w:cs="Arial"/>
          <w:szCs w:val="24"/>
        </w:rPr>
      </w:pPr>
    </w:p>
    <w:p w:rsidR="00525BD2" w:rsidRPr="0042713F" w:rsidRDefault="00525BD2" w:rsidP="0042713F">
      <w:pPr>
        <w:pStyle w:val="Ttulo2"/>
        <w:jc w:val="both"/>
        <w:rPr>
          <w:rFonts w:ascii="Arial" w:hAnsi="Arial" w:cs="Arial"/>
          <w:color w:val="B35E06" w:themeColor="accent1" w:themeShade="BF"/>
          <w:sz w:val="26"/>
          <w:szCs w:val="26"/>
        </w:rPr>
      </w:pPr>
      <w:bookmarkStart w:id="4" w:name="_Toc29986109"/>
      <w:r w:rsidRPr="0042713F">
        <w:rPr>
          <w:rFonts w:ascii="Arial" w:hAnsi="Arial" w:cs="Arial"/>
          <w:color w:val="B35E06" w:themeColor="accent1" w:themeShade="BF"/>
          <w:sz w:val="26"/>
          <w:szCs w:val="26"/>
        </w:rPr>
        <w:t>CONSENTIMIENTO EXPRESO O POR MANIFESTACIONES DE VOLUNTAD QUE LO ENTRAÑEN. SE ACTUALIZA EN EL JUICIO DE AMPARO ESA CAUSAL DE IMPROCEDENCIA CUANDO EL PATRÓN CELEBRA UN CONVENIO CON EL QUE CUMPLE EN SU INTEGRIDAD CON EL LAUDO RECLAMADO.</w:t>
      </w:r>
      <w:r w:rsidR="0042713F">
        <w:rPr>
          <w:rStyle w:val="Refdenotaalpie"/>
          <w:rFonts w:ascii="Arial" w:hAnsi="Arial" w:cs="Arial"/>
          <w:color w:val="B35E06" w:themeColor="accent1" w:themeShade="BF"/>
          <w:sz w:val="26"/>
          <w:szCs w:val="26"/>
        </w:rPr>
        <w:footnoteReference w:id="2"/>
      </w:r>
      <w:bookmarkEnd w:id="4"/>
    </w:p>
    <w:p w:rsidR="00525BD2" w:rsidRPr="00525BD2" w:rsidRDefault="00525BD2" w:rsidP="00525BD2">
      <w:pPr>
        <w:spacing w:after="0" w:line="240" w:lineRule="auto"/>
        <w:jc w:val="both"/>
        <w:rPr>
          <w:rFonts w:ascii="Arial" w:hAnsi="Arial" w:cs="Arial"/>
          <w:szCs w:val="24"/>
        </w:rPr>
      </w:pP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En la jurisprudencia 2a</w:t>
      </w:r>
      <w:proofErr w:type="gramStart"/>
      <w:r w:rsidRPr="00525BD2">
        <w:rPr>
          <w:rFonts w:ascii="Arial" w:hAnsi="Arial" w:cs="Arial"/>
          <w:szCs w:val="24"/>
        </w:rPr>
        <w:t>./</w:t>
      </w:r>
      <w:proofErr w:type="gramEnd"/>
      <w:r w:rsidRPr="00525BD2">
        <w:rPr>
          <w:rFonts w:ascii="Arial" w:hAnsi="Arial" w:cs="Arial"/>
          <w:szCs w:val="24"/>
        </w:rPr>
        <w:t>J. 8/2018 (10a.), de título y subtítulo: "CONSENTIMIENTO EXPRESO O POR MANIFESTACIONES DE VOLUNTAD QUE LO ENTRAÑEN. NO SE ACTUALIZA EN EL JUICIO DE AMPARO PROMOVIDO POR EL PATRÓN CONTRA UN LAUDO RESPECTO DEL CUAL PREVIAMENTE HUBIERA CUMPLIDO SÓLO ALGUNA O ALGUNAS DE LAS PRESTACIONES A QUE FUE CONDENADO.", la Segunda Sala de la Suprema Corte de Justicia de la Nación determinó que conforme al artículo 61, fracción XIII, de la Ley de Amparo, el juicio de amparo es improcedente contra actos consentidos expresamente o por manifestaciones de voluntad que entrañen ese consentimiento, lo que acontece cuando respecto del acto reclamado, el interesado expresa su allanamiento, anuencia o conformidad de manera verbal, por escrito o por signos inequívocos, pero que sea indudable y completo, es decir, debe revelar que se ha conformado con la decisión y consecuencias que implican el acto reclamado; por tanto, debe tenerse por actualizada la citada causa de improcedencia cuando estando pendiente de resolución el amparo promovido por el patrón contra el laudo dictado en un juicio laboral, la autoridad responsable informa que aquél celebró convenio con el que cumplió en su integridad con la condena impuesta en el laudo reclamado y, en consecuencia, se declaró cumplido, porque dicho convenio constituye un consentimiento expreso con el acto reclamado.</w:t>
      </w:r>
    </w:p>
    <w:p w:rsidR="00525BD2" w:rsidRPr="00525BD2" w:rsidRDefault="00525BD2" w:rsidP="00525BD2">
      <w:pPr>
        <w:spacing w:after="0" w:line="240" w:lineRule="auto"/>
        <w:jc w:val="both"/>
        <w:rPr>
          <w:rFonts w:ascii="Arial" w:hAnsi="Arial" w:cs="Arial"/>
          <w:szCs w:val="24"/>
        </w:rPr>
      </w:pP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PRIMER TRIBUNAL COLEGIADO EN MATERIA DE TRABAJO DEL SEXTO CIRCUITO.</w:t>
      </w:r>
    </w:p>
    <w:p w:rsidR="00525BD2" w:rsidRPr="00525BD2" w:rsidRDefault="00525BD2" w:rsidP="00525BD2">
      <w:pPr>
        <w:spacing w:after="0" w:line="240" w:lineRule="auto"/>
        <w:jc w:val="both"/>
        <w:rPr>
          <w:rFonts w:ascii="Arial" w:hAnsi="Arial" w:cs="Arial"/>
          <w:szCs w:val="24"/>
        </w:rPr>
      </w:pP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lastRenderedPageBreak/>
        <w:t>Amparo directo 314/2019. Afore XXI Banorte, S.A. de C.V. 20 de septiembre de 2019. Unanimidad de votos. Ponente: Samuel Alvarado Echavarría. Secretaria: Rosa Isela Luna Vázquez.</w:t>
      </w:r>
    </w:p>
    <w:p w:rsidR="00525BD2" w:rsidRPr="00525BD2" w:rsidRDefault="00525BD2" w:rsidP="00525BD2">
      <w:pPr>
        <w:spacing w:after="0" w:line="240" w:lineRule="auto"/>
        <w:jc w:val="both"/>
        <w:rPr>
          <w:rFonts w:ascii="Arial" w:hAnsi="Arial" w:cs="Arial"/>
          <w:szCs w:val="24"/>
        </w:rPr>
      </w:pPr>
    </w:p>
    <w:p w:rsidR="00525BD2" w:rsidRPr="00525BD2" w:rsidRDefault="00525BD2" w:rsidP="00525BD2">
      <w:pPr>
        <w:spacing w:after="0" w:line="240" w:lineRule="auto"/>
        <w:jc w:val="both"/>
        <w:rPr>
          <w:rFonts w:ascii="Arial" w:hAnsi="Arial" w:cs="Arial"/>
          <w:szCs w:val="24"/>
        </w:rPr>
      </w:pPr>
      <w:r w:rsidRPr="00525BD2">
        <w:rPr>
          <w:rFonts w:ascii="Arial" w:hAnsi="Arial" w:cs="Arial"/>
          <w:szCs w:val="24"/>
        </w:rPr>
        <w:t>Nota: La tesis de jurisprudencia 2a./J. 8/2018 (10a.) citada, aparece publicada en el Semanario Judicial de la Federación del viernes 16 de febrero de 2018 a las 10:18 horas y en la Gaceta del Semanario Judicial de la Federación, Décima Época, Libro 51, Tomo I, febrero de 2018, página 626, registro digital: 2016215.</w:t>
      </w:r>
    </w:p>
    <w:p w:rsidR="00525BD2" w:rsidRPr="00525BD2" w:rsidRDefault="00525BD2" w:rsidP="00525BD2">
      <w:pPr>
        <w:spacing w:after="0" w:line="240" w:lineRule="auto"/>
        <w:jc w:val="both"/>
        <w:rPr>
          <w:rFonts w:ascii="Arial" w:hAnsi="Arial" w:cs="Arial"/>
          <w:szCs w:val="24"/>
        </w:rPr>
      </w:pPr>
    </w:p>
    <w:p w:rsidR="0042713F" w:rsidRDefault="0042713F" w:rsidP="0042713F">
      <w:pPr>
        <w:spacing w:after="0" w:line="240" w:lineRule="auto"/>
        <w:jc w:val="both"/>
        <w:rPr>
          <w:rFonts w:ascii="Arial" w:hAnsi="Arial" w:cs="Arial"/>
          <w:sz w:val="18"/>
          <w:szCs w:val="18"/>
        </w:rPr>
      </w:pPr>
    </w:p>
    <w:p w:rsidR="00175583" w:rsidRPr="0042713F" w:rsidRDefault="00697A4C" w:rsidP="0042713F">
      <w:pPr>
        <w:spacing w:after="0" w:line="240" w:lineRule="auto"/>
        <w:jc w:val="both"/>
        <w:rPr>
          <w:rFonts w:ascii="Arial" w:hAnsi="Arial" w:cs="Arial"/>
          <w:szCs w:val="24"/>
        </w:rPr>
      </w:pPr>
      <w:r>
        <w:rPr>
          <w:rFonts w:ascii="Arial" w:hAnsi="Arial" w:cs="Arial"/>
          <w:szCs w:val="24"/>
        </w:rPr>
        <w:t xml:space="preserve">4. </w:t>
      </w:r>
      <w:r w:rsidR="00175583" w:rsidRPr="0042713F">
        <w:rPr>
          <w:rFonts w:ascii="Arial" w:hAnsi="Arial" w:cs="Arial"/>
          <w:szCs w:val="24"/>
        </w:rPr>
        <w:t xml:space="preserve">Época: Décima Época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Registro: 2021376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Instancia: Tribunales Colegiados de Circuito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Tipo de Tesis: Aislada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Fuente: Semanario Judicial de la Federación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Publicación: viernes 10 de enero de 2020 10:11 h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Materia(s): (Civil, Laboral) </w:t>
      </w: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Tesis: I.3o.C.380 C (10a.) </w:t>
      </w:r>
    </w:p>
    <w:p w:rsidR="00175583" w:rsidRPr="00175583" w:rsidRDefault="00175583" w:rsidP="00175583">
      <w:pPr>
        <w:spacing w:after="0" w:line="240" w:lineRule="auto"/>
        <w:jc w:val="both"/>
        <w:rPr>
          <w:rFonts w:ascii="Arial" w:hAnsi="Arial" w:cs="Arial"/>
          <w:szCs w:val="24"/>
        </w:rPr>
      </w:pPr>
    </w:p>
    <w:p w:rsidR="00175583" w:rsidRPr="00697A4C" w:rsidRDefault="00175583" w:rsidP="00697A4C">
      <w:pPr>
        <w:pStyle w:val="Ttulo2"/>
        <w:jc w:val="both"/>
        <w:rPr>
          <w:rFonts w:ascii="Arial" w:hAnsi="Arial" w:cs="Arial"/>
          <w:color w:val="B35E06" w:themeColor="accent1" w:themeShade="BF"/>
          <w:sz w:val="26"/>
          <w:szCs w:val="26"/>
        </w:rPr>
      </w:pPr>
      <w:bookmarkStart w:id="5" w:name="_Toc29986110"/>
      <w:r w:rsidRPr="00697A4C">
        <w:rPr>
          <w:rFonts w:ascii="Arial" w:hAnsi="Arial" w:cs="Arial"/>
          <w:color w:val="B35E06" w:themeColor="accent1" w:themeShade="BF"/>
          <w:sz w:val="26"/>
          <w:szCs w:val="26"/>
        </w:rPr>
        <w:t>COMPETENCIA EN MATERIA CIVIL. CUANDO SE RECLAMA LA DEVOLUCIÓN DE LA CANTIDAD DE DINERO QUE EL DEMANDADO RETIRÓ DE SU SUBCUENTA DE VIVIENDA, CORRESPONDE A LA AUTORIDAD LABORAL DILUCIDAR LA ACCIÓN INTENTADA (ENRIQUECIMIENTO ILEGÍTIMO) Y NO A LA CIVIL.</w:t>
      </w:r>
      <w:r w:rsidR="00697A4C">
        <w:rPr>
          <w:rStyle w:val="Refdenotaalpie"/>
          <w:rFonts w:ascii="Arial" w:hAnsi="Arial" w:cs="Arial"/>
          <w:color w:val="B35E06" w:themeColor="accent1" w:themeShade="BF"/>
          <w:sz w:val="26"/>
          <w:szCs w:val="26"/>
        </w:rPr>
        <w:footnoteReference w:id="3"/>
      </w:r>
      <w:bookmarkEnd w:id="5"/>
    </w:p>
    <w:p w:rsidR="00175583" w:rsidRPr="00175583" w:rsidRDefault="00175583" w:rsidP="00175583">
      <w:pPr>
        <w:spacing w:after="0" w:line="240" w:lineRule="auto"/>
        <w:jc w:val="both"/>
        <w:rPr>
          <w:rFonts w:ascii="Arial" w:hAnsi="Arial" w:cs="Arial"/>
          <w:szCs w:val="24"/>
        </w:rPr>
      </w:pP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La competencia es el límite de la jurisdicción, es decir, es el ámbito en el cual la autoridad judicial válidamente puede ejercer sus atribuciones y facultades otorgadas por el Estado, y constituye un presupuesto procesal de análisis preferente a la procedencia o improcedencia de la demanda y, por ende, exige ser atendido primordialmente, sea expresa o tácitamente, por lo cual su examen debe hacerse de oficio. Así, existen cuatro criterios fundamentales para determinar la competencia: a) por materia; b) por la cuantía; c) por el grado y, d) por el territorio. El criterio por materia se basa en el contenido de las normas sustantivas que regulan el litigio sometido al proceso conforme a su naturaleza jurídica. Por razón de la materia se permite determinar cuándo un litigio debe ser del conocimiento de los tribunales administrativos, fiscales, agrarios, laborales, civiles o penales, con la </w:t>
      </w:r>
      <w:r w:rsidRPr="00175583">
        <w:rPr>
          <w:rFonts w:ascii="Arial" w:hAnsi="Arial" w:cs="Arial"/>
          <w:szCs w:val="24"/>
        </w:rPr>
        <w:lastRenderedPageBreak/>
        <w:t>finalidad de lograr una mejor impartición de justicia. Por otro lado, en términos del artículo 899-A de la Ley Federal del Trabajo,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la Ley del Instituto del Fondo Nacional de la Vivienda para los Trabajadores, deban cubrir el instituto relativo y las Administradoras de Fondos para el Retiro. En este orden de ideas, cuando de la acción hecha valer se advierte que la pretensión reclamada se enfoca exclusivamente a dirimir un conflicto individual de naturaleza laboral y no civil, por quien estima le asiste el derecho a obtener la devolución de la cantidad que una dependencia tomó de su subcuenta de vivienda (trabajador), corresponde a una autoridad laboral dilucidar la acción intentada, ya que es a ella a quien le compete resolver este tipo de controversias, pues debe tomarse en cuenta que este aspecto social de la materia laboral se sustenta en el artículo 123 de la Constitución Política de los Estados Unidos Mexicanos, ya que toda controversia derivada de una relación de trabajo o todo trámite administrativo que apunte a preservar derechos laborales quedará enmarcado en los objetivos del derecho del trabajo. Máxime que la prestación en estudio, al constituir una garantía y un derecho social para los trabajadores que, conforme a los artículos 20 y 21 de la Ley Federal del Trabajo, presten a otra persona un servicio personal y subordinado mediante el pago de un salario, es inherente a la existencia de una relación de trabajo, pues nace junto con el vínculo jurídico que une a un trabajador con su patrón. Consecuentemente, es legal la resolución del Juez en la que determinó carecer de competencia para conocer del juicio oral civil por razón de materia, si por la naturaleza de la acción planteada (enriquecimiento ilegítimo de la dependencia demandada) compete dilucidarlo a una autoridad laboral.</w:t>
      </w:r>
    </w:p>
    <w:p w:rsidR="00175583" w:rsidRPr="00175583" w:rsidRDefault="00175583" w:rsidP="00175583">
      <w:pPr>
        <w:spacing w:after="0" w:line="240" w:lineRule="auto"/>
        <w:jc w:val="both"/>
        <w:rPr>
          <w:rFonts w:ascii="Arial" w:hAnsi="Arial" w:cs="Arial"/>
          <w:szCs w:val="24"/>
        </w:rPr>
      </w:pP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TERCER TRIBUNAL COLEGIADO EN MATERIA CIVIL DEL PRIMER CIRCUITO.</w:t>
      </w:r>
    </w:p>
    <w:p w:rsidR="00175583" w:rsidRPr="00175583" w:rsidRDefault="00175583" w:rsidP="00175583">
      <w:pPr>
        <w:spacing w:after="0" w:line="240" w:lineRule="auto"/>
        <w:jc w:val="both"/>
        <w:rPr>
          <w:rFonts w:ascii="Arial" w:hAnsi="Arial" w:cs="Arial"/>
          <w:szCs w:val="24"/>
        </w:rPr>
      </w:pP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Amparo directo 270/2019. Marco Antonio Flores González. 8 de mayo de 2019. Unanimidad de votos. Ponente: Sofía Verónica Ávalos Díaz. Secretario: José Manuel Martínez </w:t>
      </w:r>
      <w:proofErr w:type="spellStart"/>
      <w:r w:rsidRPr="00175583">
        <w:rPr>
          <w:rFonts w:ascii="Arial" w:hAnsi="Arial" w:cs="Arial"/>
          <w:szCs w:val="24"/>
        </w:rPr>
        <w:t>Villicaña</w:t>
      </w:r>
      <w:proofErr w:type="spellEnd"/>
      <w:r w:rsidRPr="00175583">
        <w:rPr>
          <w:rFonts w:ascii="Arial" w:hAnsi="Arial" w:cs="Arial"/>
          <w:szCs w:val="24"/>
        </w:rPr>
        <w:t>.</w:t>
      </w:r>
    </w:p>
    <w:p w:rsidR="00175583" w:rsidRPr="00175583" w:rsidRDefault="00175583" w:rsidP="00175583">
      <w:pPr>
        <w:spacing w:after="0" w:line="240" w:lineRule="auto"/>
        <w:jc w:val="both"/>
        <w:rPr>
          <w:rFonts w:ascii="Arial" w:hAnsi="Arial" w:cs="Arial"/>
          <w:szCs w:val="24"/>
        </w:rPr>
      </w:pPr>
    </w:p>
    <w:p w:rsidR="00175583" w:rsidRPr="00175583" w:rsidRDefault="00175583" w:rsidP="00175583">
      <w:pPr>
        <w:spacing w:after="0" w:line="240" w:lineRule="auto"/>
        <w:jc w:val="both"/>
        <w:rPr>
          <w:rFonts w:ascii="Arial" w:hAnsi="Arial" w:cs="Arial"/>
          <w:szCs w:val="24"/>
        </w:rPr>
      </w:pPr>
      <w:r w:rsidRPr="00175583">
        <w:rPr>
          <w:rFonts w:ascii="Arial" w:hAnsi="Arial" w:cs="Arial"/>
          <w:szCs w:val="24"/>
        </w:rPr>
        <w:t xml:space="preserve">Nota: En relación con el alcance de la presente tesis, destaca la diversa aislada 2a. LVIII/99, de rubro: "COMPETENCIA LABORAL. CORRESPONDE CONOCER A LA JUNTA LOCAL CUANDO SE DEMANDAN DEL SEGURO SOCIAL O DEL </w:t>
      </w:r>
      <w:proofErr w:type="spellStart"/>
      <w:r w:rsidRPr="00175583">
        <w:rPr>
          <w:rFonts w:ascii="Arial" w:hAnsi="Arial" w:cs="Arial"/>
          <w:szCs w:val="24"/>
        </w:rPr>
        <w:t>INFONAVIT</w:t>
      </w:r>
      <w:proofErr w:type="spellEnd"/>
      <w:r w:rsidRPr="00175583">
        <w:rPr>
          <w:rFonts w:ascii="Arial" w:hAnsi="Arial" w:cs="Arial"/>
          <w:szCs w:val="24"/>
        </w:rPr>
        <w:t xml:space="preserve"> LAS RESPECTIVAS INSCRIPCIONES Y OTRAS PRESTACIONES SECUNDARIAS, AUNQUE LA DEMANDA SE HAYA PRESENTADO POR </w:t>
      </w:r>
      <w:r w:rsidRPr="00175583">
        <w:rPr>
          <w:rFonts w:ascii="Arial" w:hAnsi="Arial" w:cs="Arial"/>
          <w:szCs w:val="24"/>
        </w:rPr>
        <w:lastRenderedPageBreak/>
        <w:t>SEPARADO, DE OTRA, EN QUE SE RECLAMARON PRESTACIONES PRINCIPALES DE UN PATRÓN SUJETO AL RÉGIMEN LOCAL.", publicada en el Semanario Judicial de la Federación y su Gaceta, Novena Época, Tomo IX, mayo de 1999, página 502, registro digital: 194003.</w:t>
      </w:r>
    </w:p>
    <w:p w:rsidR="00175583" w:rsidRPr="00175583" w:rsidRDefault="00175583" w:rsidP="00175583">
      <w:pPr>
        <w:spacing w:after="0" w:line="240" w:lineRule="auto"/>
        <w:jc w:val="both"/>
        <w:rPr>
          <w:rFonts w:ascii="Arial" w:hAnsi="Arial" w:cs="Arial"/>
          <w:szCs w:val="24"/>
        </w:rPr>
      </w:pPr>
    </w:p>
    <w:p w:rsidR="00306D2B" w:rsidRPr="00AC4B7C" w:rsidRDefault="00306D2B" w:rsidP="002C2386">
      <w:pPr>
        <w:pStyle w:val="Ttulo1"/>
        <w:numPr>
          <w:ilvl w:val="0"/>
          <w:numId w:val="11"/>
        </w:numPr>
        <w:spacing w:line="360" w:lineRule="auto"/>
        <w:jc w:val="center"/>
        <w:rPr>
          <w:rFonts w:ascii="Arial" w:hAnsi="Arial" w:cs="Arial"/>
          <w:color w:val="B35E06" w:themeColor="accent1" w:themeShade="BF"/>
          <w:sz w:val="36"/>
          <w:szCs w:val="36"/>
        </w:rPr>
      </w:pPr>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3479248"/>
      <w:bookmarkStart w:id="18" w:name="_Toc13479882"/>
      <w:bookmarkStart w:id="19" w:name="_Toc13480931"/>
      <w:bookmarkStart w:id="20" w:name="_Toc15894289"/>
      <w:bookmarkStart w:id="21" w:name="_Toc15988536"/>
      <w:bookmarkStart w:id="22" w:name="_Toc16504411"/>
      <w:bookmarkStart w:id="23" w:name="_Toc29986111"/>
      <w:r w:rsidRPr="00AC4B7C">
        <w:rPr>
          <w:rFonts w:ascii="Arial" w:hAnsi="Arial" w:cs="Arial"/>
          <w:color w:val="B35E06" w:themeColor="accent1" w:themeShade="BF"/>
          <w:sz w:val="36"/>
          <w:szCs w:val="36"/>
        </w:rPr>
        <w:t>FUENTES CONSULTADAS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06D2B" w:rsidRPr="00591067" w:rsidRDefault="00306D2B" w:rsidP="00306D2B">
      <w:pPr>
        <w:numPr>
          <w:ilvl w:val="0"/>
          <w:numId w:val="6"/>
        </w:numPr>
        <w:spacing w:after="0" w:line="360" w:lineRule="auto"/>
        <w:jc w:val="center"/>
        <w:rPr>
          <w:rFonts w:ascii="Arial" w:hAnsi="Arial" w:cs="Arial"/>
          <w:b/>
          <w:bCs/>
          <w:vanish/>
          <w:color w:val="B35E06" w:themeColor="accent1" w:themeShade="BF"/>
          <w:szCs w:val="24"/>
          <w:lang w:val="es-MX"/>
        </w:rPr>
      </w:pPr>
      <w:bookmarkStart w:id="24" w:name="_Toc536437384"/>
      <w:bookmarkStart w:id="25" w:name="_Toc536437577"/>
      <w:bookmarkStart w:id="26" w:name="_Toc536439344"/>
      <w:bookmarkStart w:id="27" w:name="_Toc536439427"/>
      <w:bookmarkStart w:id="28" w:name="_Toc536439467"/>
      <w:bookmarkStart w:id="29" w:name="_Toc338653"/>
      <w:bookmarkStart w:id="30" w:name="_Toc778876"/>
      <w:bookmarkStart w:id="31" w:name="_Toc779017"/>
      <w:bookmarkStart w:id="32" w:name="_Toc1379639"/>
      <w:bookmarkStart w:id="33" w:name="_Toc1380862"/>
      <w:bookmarkStart w:id="34" w:name="_Toc2071031"/>
      <w:bookmarkStart w:id="35" w:name="_Toc5180102"/>
      <w:bookmarkStart w:id="36" w:name="_Toc5180180"/>
      <w:bookmarkStart w:id="37" w:name="_Toc5262815"/>
      <w:bookmarkStart w:id="38" w:name="_Toc5263076"/>
      <w:bookmarkStart w:id="39" w:name="_Toc5263203"/>
      <w:bookmarkStart w:id="40" w:name="_Toc5263841"/>
      <w:bookmarkStart w:id="41" w:name="_Toc5263889"/>
      <w:bookmarkStart w:id="42" w:name="_Toc5263941"/>
      <w:bookmarkStart w:id="43" w:name="_Toc5273346"/>
      <w:bookmarkStart w:id="44" w:name="_Toc5277921"/>
      <w:bookmarkStart w:id="45" w:name="_Toc5371729"/>
      <w:bookmarkStart w:id="46" w:name="_Toc5371744"/>
      <w:bookmarkStart w:id="47" w:name="_Toc53643946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306D2B" w:rsidRPr="00591067" w:rsidRDefault="00306D2B" w:rsidP="00306D2B">
      <w:pPr>
        <w:numPr>
          <w:ilvl w:val="0"/>
          <w:numId w:val="6"/>
        </w:numPr>
        <w:spacing w:after="0" w:line="360" w:lineRule="auto"/>
        <w:jc w:val="center"/>
        <w:rPr>
          <w:rFonts w:ascii="Arial" w:hAnsi="Arial" w:cs="Arial"/>
          <w:b/>
          <w:bCs/>
          <w:vanish/>
          <w:color w:val="B35E06" w:themeColor="accent1" w:themeShade="BF"/>
          <w:szCs w:val="24"/>
          <w:lang w:val="es-MX"/>
        </w:rPr>
      </w:pPr>
      <w:bookmarkStart w:id="48" w:name="_Toc338654"/>
      <w:bookmarkStart w:id="49" w:name="_Toc778877"/>
      <w:bookmarkStart w:id="50" w:name="_Toc779018"/>
      <w:bookmarkStart w:id="51" w:name="_Toc1379640"/>
      <w:bookmarkStart w:id="52" w:name="_Toc1380863"/>
      <w:bookmarkStart w:id="53" w:name="_Toc2071032"/>
      <w:bookmarkStart w:id="54" w:name="_Toc5180103"/>
      <w:bookmarkStart w:id="55" w:name="_Toc5180181"/>
      <w:bookmarkStart w:id="56" w:name="_Toc5262816"/>
      <w:bookmarkStart w:id="57" w:name="_Toc5263077"/>
      <w:bookmarkStart w:id="58" w:name="_Toc5263204"/>
      <w:bookmarkStart w:id="59" w:name="_Toc5263842"/>
      <w:bookmarkStart w:id="60" w:name="_Toc5263890"/>
      <w:bookmarkStart w:id="61" w:name="_Toc5263942"/>
      <w:bookmarkStart w:id="62" w:name="_Toc5273347"/>
      <w:bookmarkStart w:id="63" w:name="_Toc5277922"/>
      <w:bookmarkStart w:id="64" w:name="_Toc5371730"/>
      <w:bookmarkStart w:id="65" w:name="_Toc53717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306D2B" w:rsidRPr="00591067" w:rsidRDefault="00306D2B" w:rsidP="00306D2B">
      <w:pPr>
        <w:pStyle w:val="Ttulo2"/>
        <w:spacing w:line="360" w:lineRule="auto"/>
        <w:jc w:val="center"/>
        <w:rPr>
          <w:rFonts w:ascii="Arial" w:hAnsi="Arial" w:cs="Arial"/>
          <w:vanish/>
          <w:color w:val="B35E06" w:themeColor="accent1" w:themeShade="BF"/>
        </w:rPr>
      </w:pPr>
      <w:bookmarkStart w:id="66" w:name="_Toc5371746"/>
      <w:bookmarkStart w:id="67" w:name="_Toc5263205"/>
      <w:bookmarkStart w:id="68" w:name="_Toc5180182"/>
      <w:bookmarkStart w:id="69" w:name="_Toc1380864"/>
      <w:bookmarkStart w:id="70" w:name="_Toc779019"/>
      <w:bookmarkStart w:id="71" w:name="_Toc338655"/>
      <w:bookmarkStart w:id="72" w:name="_Toc1379641"/>
      <w:bookmarkStart w:id="73" w:name="_Toc2071033"/>
      <w:bookmarkStart w:id="74" w:name="_Toc11316583"/>
      <w:bookmarkStart w:id="75" w:name="_Toc13479249"/>
      <w:bookmarkStart w:id="76" w:name="_Toc13479883"/>
      <w:bookmarkStart w:id="77" w:name="_Toc13480932"/>
      <w:bookmarkStart w:id="78" w:name="_Toc15894290"/>
      <w:bookmarkStart w:id="79" w:name="_Toc15988537"/>
      <w:bookmarkStart w:id="80" w:name="_Toc16504412"/>
      <w:bookmarkStart w:id="81" w:name="_Toc29986112"/>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2" w:name="_Toc524446387"/>
      <w:bookmarkStart w:id="83" w:name="_Toc524519068"/>
      <w:bookmarkStart w:id="84" w:name="_Toc524519163"/>
      <w:bookmarkStart w:id="85" w:name="_Toc524446390"/>
      <w:bookmarkStart w:id="86" w:name="_Toc524519071"/>
      <w:bookmarkStart w:id="87" w:name="_Toc524519166"/>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306D2B" w:rsidRPr="00591067" w:rsidRDefault="00306D2B" w:rsidP="00306D2B">
      <w:pPr>
        <w:spacing w:after="0" w:line="360" w:lineRule="auto"/>
        <w:jc w:val="center"/>
        <w:rPr>
          <w:rFonts w:ascii="Arial" w:hAnsi="Arial" w:cs="Arial"/>
          <w:color w:val="B35E06" w:themeColor="accent1" w:themeShade="BF"/>
          <w:szCs w:val="24"/>
        </w:rPr>
      </w:pPr>
      <w:bookmarkStart w:id="88" w:name="_Toc524947297"/>
      <w:bookmarkStart w:id="89" w:name="_Toc525683586"/>
      <w:bookmarkStart w:id="90" w:name="_Toc525686134"/>
      <w:bookmarkStart w:id="91" w:name="_Toc525808260"/>
      <w:bookmarkStart w:id="92" w:name="_Toc525808291"/>
      <w:bookmarkStart w:id="93" w:name="_Toc525808454"/>
      <w:bookmarkStart w:id="94" w:name="_Toc524947298"/>
      <w:bookmarkStart w:id="95" w:name="_Toc525683587"/>
      <w:bookmarkStart w:id="96" w:name="_Toc525686135"/>
      <w:bookmarkStart w:id="97" w:name="_Toc525808261"/>
      <w:bookmarkStart w:id="98" w:name="_Toc525808292"/>
      <w:bookmarkStart w:id="99" w:name="_Toc525808455"/>
      <w:bookmarkStart w:id="100" w:name="_Toc524947299"/>
      <w:bookmarkStart w:id="101" w:name="_Toc525683588"/>
      <w:bookmarkStart w:id="102" w:name="_Toc525686136"/>
      <w:bookmarkStart w:id="103" w:name="_Toc525808262"/>
      <w:bookmarkStart w:id="104" w:name="_Toc525808293"/>
      <w:bookmarkStart w:id="105" w:name="_Toc525808456"/>
      <w:bookmarkStart w:id="106" w:name="_Toc524947300"/>
      <w:bookmarkStart w:id="107" w:name="_Toc525683589"/>
      <w:bookmarkStart w:id="108" w:name="_Toc525808294"/>
      <w:bookmarkStart w:id="109" w:name="_Toc525808457"/>
      <w:bookmarkStart w:id="110" w:name="_Toc53050378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06D2B" w:rsidRPr="00094A5D" w:rsidRDefault="00306D2B" w:rsidP="00306D2B">
      <w:pPr>
        <w:pStyle w:val="Ttulo3"/>
        <w:jc w:val="center"/>
        <w:rPr>
          <w:rFonts w:ascii="Arial" w:hAnsi="Arial" w:cs="Arial"/>
          <w:b w:val="0"/>
          <w:color w:val="B35E06" w:themeColor="accent1" w:themeShade="BF"/>
        </w:rPr>
      </w:pPr>
      <w:bookmarkStart w:id="111" w:name="_Toc5371747"/>
      <w:bookmarkStart w:id="112" w:name="_Toc5263206"/>
      <w:bookmarkStart w:id="113" w:name="_Toc5180183"/>
      <w:bookmarkStart w:id="114" w:name="_Toc1380865"/>
      <w:bookmarkStart w:id="115" w:name="_Toc779020"/>
      <w:bookmarkStart w:id="116" w:name="_Toc536439469"/>
      <w:bookmarkStart w:id="117" w:name="_Toc338656"/>
      <w:bookmarkStart w:id="118" w:name="_Toc1379642"/>
      <w:bookmarkStart w:id="119" w:name="_Toc2071034"/>
      <w:bookmarkStart w:id="120" w:name="_Toc11316584"/>
      <w:bookmarkStart w:id="121" w:name="_Toc13479250"/>
      <w:bookmarkStart w:id="122" w:name="_Toc13479884"/>
      <w:bookmarkStart w:id="123" w:name="_Toc13480933"/>
      <w:bookmarkStart w:id="124" w:name="_Toc15894291"/>
      <w:bookmarkStart w:id="125" w:name="_Toc15988538"/>
      <w:bookmarkStart w:id="126" w:name="_Toc16504413"/>
      <w:bookmarkStart w:id="127" w:name="_Toc29986113"/>
      <w:r w:rsidRPr="00094A5D">
        <w:rPr>
          <w:rFonts w:ascii="Arial" w:hAnsi="Arial" w:cs="Arial"/>
          <w:b w:val="0"/>
          <w:color w:val="B35E06" w:themeColor="accent1" w:themeShade="BF"/>
        </w:rPr>
        <w:t>SEMANARIO JUDICIAL DE LA FEDERACIÓN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06D2B" w:rsidRPr="00094A5D" w:rsidRDefault="00306D2B" w:rsidP="00306D2B"/>
    <w:p w:rsidR="00306D2B" w:rsidRPr="00A91C82" w:rsidRDefault="00306D2B" w:rsidP="00306D2B">
      <w:pPr>
        <w:spacing w:after="0" w:line="240" w:lineRule="auto"/>
        <w:jc w:val="center"/>
        <w:rPr>
          <w:rFonts w:ascii="Arial" w:hAnsi="Arial" w:cs="Arial"/>
          <w:szCs w:val="24"/>
        </w:rPr>
      </w:pPr>
      <w:bookmarkStart w:id="128" w:name="_Toc525808458"/>
      <w:bookmarkStart w:id="129" w:name="_Toc525808295"/>
      <w:bookmarkStart w:id="130" w:name="_Toc525683590"/>
      <w:bookmarkStart w:id="131" w:name="_Toc524947301"/>
      <w:bookmarkStart w:id="132" w:name="_Toc530503785"/>
      <w:bookmarkEnd w:id="106"/>
      <w:bookmarkEnd w:id="107"/>
      <w:bookmarkEnd w:id="108"/>
      <w:bookmarkEnd w:id="109"/>
      <w:bookmarkEnd w:id="110"/>
      <w:r w:rsidRPr="00A91C82">
        <w:rPr>
          <w:rFonts w:ascii="Arial" w:hAnsi="Arial" w:cs="Arial"/>
          <w:bCs/>
          <w:szCs w:val="24"/>
        </w:rPr>
        <w:t>(https://sjf.scjn.gob.mx/SJFSem/Paginas/SemanarioV5.aspx</w:t>
      </w:r>
      <w:bookmarkEnd w:id="128"/>
      <w:bookmarkEnd w:id="129"/>
      <w:bookmarkEnd w:id="130"/>
      <w:bookmarkEnd w:id="131"/>
      <w:r w:rsidRPr="00A91C82">
        <w:rPr>
          <w:rFonts w:ascii="Arial" w:hAnsi="Arial" w:cs="Arial"/>
          <w:bCs/>
          <w:szCs w:val="24"/>
        </w:rPr>
        <w:t>)</w:t>
      </w:r>
      <w:bookmarkEnd w:id="132"/>
    </w:p>
    <w:p w:rsidR="00306D2B" w:rsidRDefault="00306D2B" w:rsidP="00306D2B">
      <w:pPr>
        <w:spacing w:after="0" w:line="240" w:lineRule="auto"/>
        <w:jc w:val="both"/>
        <w:rPr>
          <w:rFonts w:ascii="Arial" w:hAnsi="Arial" w:cs="Arial"/>
        </w:rPr>
      </w:pPr>
    </w:p>
    <w:p w:rsidR="00306D2B" w:rsidRPr="00E97078" w:rsidRDefault="00306D2B" w:rsidP="00306D2B">
      <w:pPr>
        <w:spacing w:after="0" w:line="240" w:lineRule="auto"/>
        <w:jc w:val="both"/>
        <w:rPr>
          <w:rFonts w:ascii="Arial" w:hAnsi="Arial" w:cs="Arial"/>
        </w:rPr>
      </w:pPr>
    </w:p>
    <w:p w:rsidR="00175583" w:rsidRPr="00175583" w:rsidRDefault="00175583" w:rsidP="00917825">
      <w:pPr>
        <w:spacing w:after="0" w:line="240" w:lineRule="auto"/>
        <w:jc w:val="both"/>
        <w:rPr>
          <w:rFonts w:ascii="Arial" w:hAnsi="Arial" w:cs="Arial"/>
          <w:szCs w:val="24"/>
        </w:rPr>
      </w:pPr>
    </w:p>
    <w:sectPr w:rsidR="00175583" w:rsidRPr="00175583" w:rsidSect="002C2386">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22" w:rsidRDefault="000A7422">
      <w:pPr>
        <w:spacing w:after="0" w:line="240" w:lineRule="auto"/>
      </w:pPr>
      <w:r>
        <w:separator/>
      </w:r>
    </w:p>
  </w:endnote>
  <w:endnote w:type="continuationSeparator" w:id="0">
    <w:p w:rsidR="000A7422" w:rsidRDefault="000A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27E47481" wp14:editId="02564106">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22" w:rsidRDefault="000A7422">
      <w:pPr>
        <w:spacing w:after="0" w:line="240" w:lineRule="auto"/>
      </w:pPr>
      <w:r>
        <w:separator/>
      </w:r>
    </w:p>
  </w:footnote>
  <w:footnote w:type="continuationSeparator" w:id="0">
    <w:p w:rsidR="000A7422" w:rsidRDefault="000A7422">
      <w:pPr>
        <w:spacing w:after="0" w:line="240" w:lineRule="auto"/>
      </w:pPr>
      <w:r>
        <w:continuationSeparator/>
      </w:r>
    </w:p>
  </w:footnote>
  <w:footnote w:id="1">
    <w:p w:rsidR="0042713F" w:rsidRPr="0042713F" w:rsidRDefault="0042713F" w:rsidP="0042713F">
      <w:pPr>
        <w:spacing w:after="0" w:line="240" w:lineRule="auto"/>
        <w:jc w:val="both"/>
        <w:rPr>
          <w:rFonts w:ascii="Arial" w:hAnsi="Arial" w:cs="Arial"/>
          <w:sz w:val="18"/>
          <w:szCs w:val="18"/>
        </w:rPr>
      </w:pPr>
      <w:r w:rsidRPr="0042713F">
        <w:rPr>
          <w:rStyle w:val="Refdenotaalpie"/>
          <w:rFonts w:ascii="Arial" w:hAnsi="Arial" w:cs="Arial"/>
          <w:sz w:val="18"/>
          <w:szCs w:val="18"/>
        </w:rPr>
        <w:footnoteRef/>
      </w:r>
      <w:r w:rsidRPr="0042713F">
        <w:rPr>
          <w:rFonts w:ascii="Arial" w:hAnsi="Arial" w:cs="Arial"/>
          <w:sz w:val="18"/>
          <w:szCs w:val="18"/>
        </w:rPr>
        <w:t xml:space="preserve"> </w:t>
      </w:r>
      <w:r w:rsidRPr="0042713F">
        <w:rPr>
          <w:rFonts w:ascii="Arial" w:hAnsi="Arial" w:cs="Arial"/>
          <w:sz w:val="18"/>
          <w:szCs w:val="18"/>
        </w:rPr>
        <w:t>Esta tesis aparece de igual manera en la compilación de tesis en materia constitucional y amparo.</w:t>
      </w:r>
    </w:p>
  </w:footnote>
  <w:footnote w:id="2">
    <w:p w:rsidR="0042713F" w:rsidRPr="0042713F" w:rsidRDefault="0042713F" w:rsidP="0042713F">
      <w:pPr>
        <w:spacing w:after="0" w:line="240" w:lineRule="auto"/>
        <w:jc w:val="both"/>
        <w:rPr>
          <w:rFonts w:ascii="Arial" w:hAnsi="Arial" w:cs="Arial"/>
          <w:sz w:val="18"/>
          <w:szCs w:val="18"/>
        </w:rPr>
      </w:pPr>
      <w:r w:rsidRPr="0042713F">
        <w:rPr>
          <w:rStyle w:val="Refdenotaalpie"/>
          <w:rFonts w:ascii="Arial" w:hAnsi="Arial" w:cs="Arial"/>
          <w:sz w:val="18"/>
          <w:szCs w:val="18"/>
        </w:rPr>
        <w:footnoteRef/>
      </w:r>
      <w:r w:rsidRPr="0042713F">
        <w:rPr>
          <w:rFonts w:ascii="Arial" w:hAnsi="Arial" w:cs="Arial"/>
          <w:sz w:val="18"/>
          <w:szCs w:val="18"/>
        </w:rPr>
        <w:t xml:space="preserve"> </w:t>
      </w:r>
      <w:r w:rsidRPr="0042713F">
        <w:rPr>
          <w:rFonts w:ascii="Arial" w:hAnsi="Arial" w:cs="Arial"/>
          <w:sz w:val="18"/>
          <w:szCs w:val="18"/>
        </w:rPr>
        <w:t>Esta tesis aparece de igual manera en la compilación de tesis en materia constitucional y amparo</w:t>
      </w:r>
      <w:r w:rsidRPr="0042713F">
        <w:rPr>
          <w:rFonts w:ascii="Arial" w:hAnsi="Arial" w:cs="Arial"/>
          <w:sz w:val="18"/>
          <w:szCs w:val="18"/>
        </w:rPr>
        <w:t>.</w:t>
      </w:r>
    </w:p>
  </w:footnote>
  <w:footnote w:id="3">
    <w:p w:rsidR="00697A4C" w:rsidRPr="00697A4C" w:rsidRDefault="00697A4C" w:rsidP="00697A4C">
      <w:pPr>
        <w:spacing w:after="0" w:line="240" w:lineRule="auto"/>
        <w:jc w:val="both"/>
        <w:rPr>
          <w:rFonts w:ascii="Arial" w:hAnsi="Arial" w:cs="Arial"/>
          <w:sz w:val="18"/>
          <w:szCs w:val="18"/>
        </w:rPr>
      </w:pPr>
      <w:r w:rsidRPr="00697A4C">
        <w:rPr>
          <w:rStyle w:val="Refdenotaalpie"/>
          <w:rFonts w:ascii="Arial" w:hAnsi="Arial" w:cs="Arial"/>
          <w:sz w:val="18"/>
          <w:szCs w:val="18"/>
        </w:rPr>
        <w:footnoteRef/>
      </w:r>
      <w:r w:rsidRPr="00697A4C">
        <w:rPr>
          <w:rFonts w:ascii="Arial" w:hAnsi="Arial" w:cs="Arial"/>
          <w:sz w:val="18"/>
          <w:szCs w:val="18"/>
        </w:rPr>
        <w:t xml:space="preserve"> </w:t>
      </w:r>
      <w:r w:rsidRPr="00697A4C">
        <w:rPr>
          <w:rFonts w:ascii="Arial" w:hAnsi="Arial" w:cs="Arial"/>
          <w:sz w:val="18"/>
          <w:szCs w:val="18"/>
        </w:rPr>
        <w:t>Esta tesis aparece de igual manera en</w:t>
      </w:r>
      <w:r w:rsidR="00FD591E">
        <w:rPr>
          <w:rFonts w:ascii="Arial" w:hAnsi="Arial" w:cs="Arial"/>
          <w:sz w:val="18"/>
          <w:szCs w:val="18"/>
        </w:rPr>
        <w:t xml:space="preserve"> </w:t>
      </w:r>
      <w:r w:rsidRPr="00697A4C">
        <w:rPr>
          <w:rFonts w:ascii="Arial" w:hAnsi="Arial" w:cs="Arial"/>
          <w:sz w:val="18"/>
          <w:szCs w:val="18"/>
        </w:rPr>
        <w:t>la compilación de tesis en materia civil</w:t>
      </w:r>
      <w:r w:rsidRPr="00697A4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00C7EEFC" wp14:editId="1127F857">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56EDD53" wp14:editId="492D9593">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74D01771" wp14:editId="6E205198">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68E724AF" wp14:editId="06774025">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CD5182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526B5"/>
    <w:multiLevelType w:val="multilevel"/>
    <w:tmpl w:val="D2361332"/>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6"/>
  </w:num>
  <w:num w:numId="12">
    <w:abstractNumId w:val="14"/>
  </w:num>
  <w:num w:numId="13">
    <w:abstractNumId w:val="2"/>
  </w:num>
  <w:num w:numId="14">
    <w:abstractNumId w:val="8"/>
  </w:num>
  <w:num w:numId="15">
    <w:abstractNumId w:val="15"/>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A7422"/>
    <w:rsid w:val="000B22CA"/>
    <w:rsid w:val="000D02CC"/>
    <w:rsid w:val="000D40AA"/>
    <w:rsid w:val="000D68B2"/>
    <w:rsid w:val="000E584C"/>
    <w:rsid w:val="000F77E7"/>
    <w:rsid w:val="00113202"/>
    <w:rsid w:val="00143A2B"/>
    <w:rsid w:val="0016234D"/>
    <w:rsid w:val="00166FFC"/>
    <w:rsid w:val="001725DB"/>
    <w:rsid w:val="00175583"/>
    <w:rsid w:val="00176ED5"/>
    <w:rsid w:val="001B2881"/>
    <w:rsid w:val="001B5733"/>
    <w:rsid w:val="001C13E2"/>
    <w:rsid w:val="001D0683"/>
    <w:rsid w:val="00205969"/>
    <w:rsid w:val="00222AA2"/>
    <w:rsid w:val="002263E7"/>
    <w:rsid w:val="00265521"/>
    <w:rsid w:val="002C0A64"/>
    <w:rsid w:val="002C2386"/>
    <w:rsid w:val="002E0B9C"/>
    <w:rsid w:val="002E6287"/>
    <w:rsid w:val="002F2A9F"/>
    <w:rsid w:val="00303AE1"/>
    <w:rsid w:val="00306D2B"/>
    <w:rsid w:val="0031206A"/>
    <w:rsid w:val="00341C0A"/>
    <w:rsid w:val="003474DE"/>
    <w:rsid w:val="00357E72"/>
    <w:rsid w:val="00386915"/>
    <w:rsid w:val="003949BD"/>
    <w:rsid w:val="003B321C"/>
    <w:rsid w:val="003F21F5"/>
    <w:rsid w:val="003F3ACB"/>
    <w:rsid w:val="00425411"/>
    <w:rsid w:val="0042713F"/>
    <w:rsid w:val="00453EC0"/>
    <w:rsid w:val="00455912"/>
    <w:rsid w:val="00464729"/>
    <w:rsid w:val="004C01E6"/>
    <w:rsid w:val="004D61A7"/>
    <w:rsid w:val="004E18B4"/>
    <w:rsid w:val="004E29DC"/>
    <w:rsid w:val="004E4028"/>
    <w:rsid w:val="005008D8"/>
    <w:rsid w:val="00511DE9"/>
    <w:rsid w:val="00524B92"/>
    <w:rsid w:val="00525BD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97A4C"/>
    <w:rsid w:val="006B1EC9"/>
    <w:rsid w:val="006B7784"/>
    <w:rsid w:val="006E2612"/>
    <w:rsid w:val="006E2C05"/>
    <w:rsid w:val="006F09AA"/>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17825"/>
    <w:rsid w:val="0094311E"/>
    <w:rsid w:val="009468A0"/>
    <w:rsid w:val="009603E6"/>
    <w:rsid w:val="00992480"/>
    <w:rsid w:val="009C0993"/>
    <w:rsid w:val="009E413B"/>
    <w:rsid w:val="00A448C1"/>
    <w:rsid w:val="00A65F33"/>
    <w:rsid w:val="00A75F43"/>
    <w:rsid w:val="00A91AFB"/>
    <w:rsid w:val="00AA308A"/>
    <w:rsid w:val="00AA7AA0"/>
    <w:rsid w:val="00AB4981"/>
    <w:rsid w:val="00AC4B7C"/>
    <w:rsid w:val="00AD20E5"/>
    <w:rsid w:val="00AD5C3F"/>
    <w:rsid w:val="00AF05BD"/>
    <w:rsid w:val="00AF169A"/>
    <w:rsid w:val="00AF68F6"/>
    <w:rsid w:val="00B01757"/>
    <w:rsid w:val="00B119B8"/>
    <w:rsid w:val="00B20C11"/>
    <w:rsid w:val="00B43495"/>
    <w:rsid w:val="00B5204C"/>
    <w:rsid w:val="00B64AD8"/>
    <w:rsid w:val="00B70211"/>
    <w:rsid w:val="00B73BF3"/>
    <w:rsid w:val="00B75327"/>
    <w:rsid w:val="00B80261"/>
    <w:rsid w:val="00BA2DB2"/>
    <w:rsid w:val="00BB0FDA"/>
    <w:rsid w:val="00BD19EC"/>
    <w:rsid w:val="00BD7AE6"/>
    <w:rsid w:val="00C3444C"/>
    <w:rsid w:val="00C54B3A"/>
    <w:rsid w:val="00C56AD6"/>
    <w:rsid w:val="00C73DCF"/>
    <w:rsid w:val="00C764D7"/>
    <w:rsid w:val="00CA6B4F"/>
    <w:rsid w:val="00CB208F"/>
    <w:rsid w:val="00CC0644"/>
    <w:rsid w:val="00CD28BF"/>
    <w:rsid w:val="00CF1549"/>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091E"/>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D591E"/>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294F8AFD-ED08-49A1-95FF-B11BD934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2620</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2020-01-14T20:40:00Z</dcterms:created>
  <dcterms:modified xsi:type="dcterms:W3CDTF">2020-01-15T19:08:00Z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